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951BB5" w:rsidTr="00951BB5">
        <w:tc>
          <w:tcPr>
            <w:tcW w:w="4428" w:type="dxa"/>
          </w:tcPr>
          <w:p w:rsidR="00951BB5" w:rsidRDefault="00951BB5" w:rsidP="005A475C">
            <w:pPr>
              <w:jc w:val="center"/>
              <w:rPr>
                <w:rFonts w:ascii="Simplified Arabic" w:hAnsi="Simplified Arabic" w:cs="Simplified Arabic"/>
                <w:b/>
                <w:bCs/>
                <w:sz w:val="28"/>
                <w:szCs w:val="28"/>
                <w:rtl/>
                <w:lang w:bidi="ar-LB"/>
              </w:rPr>
            </w:pPr>
            <w:r>
              <w:rPr>
                <w:rFonts w:ascii="Simplified Arabic" w:hAnsi="Simplified Arabic" w:cs="Simplified Arabic"/>
                <w:b/>
                <w:bCs/>
                <w:noProof/>
                <w:sz w:val="28"/>
                <w:szCs w:val="28"/>
                <w:rtl/>
              </w:rPr>
              <w:drawing>
                <wp:inline distT="0" distB="0" distL="0" distR="0" wp14:anchorId="5B87F56F" wp14:editId="09DF7E97">
                  <wp:extent cx="1165538" cy="1088479"/>
                  <wp:effectExtent l="0" t="0" r="0" b="0"/>
                  <wp:docPr id="1" name="Picture 1" descr="C:\Users\admin\Documents\Logo Université Liban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Logo Université Libanais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493" cy="1096842"/>
                          </a:xfrm>
                          <a:prstGeom prst="rect">
                            <a:avLst/>
                          </a:prstGeom>
                          <a:noFill/>
                          <a:ln>
                            <a:noFill/>
                          </a:ln>
                        </pic:spPr>
                      </pic:pic>
                    </a:graphicData>
                  </a:graphic>
                </wp:inline>
              </w:drawing>
            </w:r>
          </w:p>
        </w:tc>
        <w:tc>
          <w:tcPr>
            <w:tcW w:w="4428" w:type="dxa"/>
          </w:tcPr>
          <w:p w:rsidR="00951BB5" w:rsidRDefault="00951BB5" w:rsidP="005A475C">
            <w:pPr>
              <w:jc w:val="center"/>
              <w:rPr>
                <w:rFonts w:ascii="Simplified Arabic" w:hAnsi="Simplified Arabic" w:cs="Simplified Arabic"/>
                <w:b/>
                <w:bCs/>
                <w:sz w:val="28"/>
                <w:szCs w:val="28"/>
                <w:rtl/>
                <w:lang w:bidi="ar-LB"/>
              </w:rPr>
            </w:pPr>
            <w:r>
              <w:rPr>
                <w:rFonts w:ascii="Simplified Arabic" w:hAnsi="Simplified Arabic" w:cs="Simplified Arabic"/>
                <w:b/>
                <w:bCs/>
                <w:noProof/>
                <w:sz w:val="28"/>
                <w:szCs w:val="28"/>
                <w:rtl/>
              </w:rPr>
              <w:drawing>
                <wp:inline distT="0" distB="0" distL="0" distR="0" wp14:anchorId="5E082379" wp14:editId="7945B0C5">
                  <wp:extent cx="1168119" cy="1088265"/>
                  <wp:effectExtent l="0" t="0" r="0" b="0"/>
                  <wp:docPr id="2" name="Picture 2" descr="C:\Users\admin\Documents\Logo Fac.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Logo Fac.Dro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841" cy="1103844"/>
                          </a:xfrm>
                          <a:prstGeom prst="rect">
                            <a:avLst/>
                          </a:prstGeom>
                          <a:noFill/>
                          <a:ln>
                            <a:noFill/>
                          </a:ln>
                        </pic:spPr>
                      </pic:pic>
                    </a:graphicData>
                  </a:graphic>
                </wp:inline>
              </w:drawing>
            </w:r>
          </w:p>
        </w:tc>
      </w:tr>
    </w:tbl>
    <w:p w:rsidR="00951BB5" w:rsidRDefault="00951BB5" w:rsidP="005A475C">
      <w:pPr>
        <w:jc w:val="center"/>
        <w:rPr>
          <w:rFonts w:ascii="Simplified Arabic" w:hAnsi="Simplified Arabic" w:cs="Simplified Arabic"/>
          <w:b/>
          <w:bCs/>
          <w:sz w:val="28"/>
          <w:szCs w:val="28"/>
          <w:rtl/>
          <w:lang w:bidi="ar-LB"/>
        </w:rPr>
      </w:pPr>
    </w:p>
    <w:p w:rsidR="00951BB5" w:rsidRDefault="00951BB5" w:rsidP="005A475C">
      <w:pPr>
        <w:jc w:val="center"/>
        <w:rPr>
          <w:rFonts w:ascii="Simplified Arabic" w:hAnsi="Simplified Arabic" w:cs="Simplified Arabic"/>
          <w:b/>
          <w:bCs/>
          <w:sz w:val="28"/>
          <w:szCs w:val="28"/>
          <w:rtl/>
          <w:lang w:bidi="ar-LB"/>
        </w:rPr>
      </w:pPr>
    </w:p>
    <w:p w:rsidR="00951BB5" w:rsidRDefault="00951BB5" w:rsidP="005A475C">
      <w:pPr>
        <w:jc w:val="center"/>
        <w:rPr>
          <w:rFonts w:ascii="Simplified Arabic" w:hAnsi="Simplified Arabic" w:cs="Simplified Arabic"/>
          <w:b/>
          <w:bCs/>
          <w:sz w:val="28"/>
          <w:szCs w:val="28"/>
          <w:rtl/>
          <w:lang w:bidi="ar-LB"/>
        </w:rPr>
      </w:pPr>
    </w:p>
    <w:p w:rsidR="00951BB5" w:rsidRDefault="00951BB5" w:rsidP="005A475C">
      <w:pPr>
        <w:jc w:val="center"/>
        <w:rPr>
          <w:rFonts w:ascii="Simplified Arabic" w:hAnsi="Simplified Arabic" w:cs="Simplified Arabic"/>
          <w:b/>
          <w:bCs/>
          <w:sz w:val="28"/>
          <w:szCs w:val="28"/>
          <w:rtl/>
          <w:lang w:bidi="ar-LB"/>
        </w:rPr>
      </w:pPr>
    </w:p>
    <w:p w:rsidR="005A475C" w:rsidRPr="005A475C" w:rsidRDefault="005A475C" w:rsidP="005A475C">
      <w:pPr>
        <w:jc w:val="center"/>
        <w:rPr>
          <w:rFonts w:ascii="Simplified Arabic" w:hAnsi="Simplified Arabic" w:cs="Simplified Arabic"/>
          <w:b/>
          <w:bCs/>
          <w:sz w:val="28"/>
          <w:szCs w:val="28"/>
          <w:rtl/>
          <w:lang w:bidi="ar-LB"/>
        </w:rPr>
      </w:pPr>
      <w:r w:rsidRPr="005A475C">
        <w:rPr>
          <w:rFonts w:ascii="Simplified Arabic" w:hAnsi="Simplified Arabic" w:cs="Simplified Arabic" w:hint="cs"/>
          <w:b/>
          <w:bCs/>
          <w:sz w:val="28"/>
          <w:szCs w:val="28"/>
          <w:rtl/>
          <w:lang w:bidi="ar-LB"/>
        </w:rPr>
        <w:t>مركز المعلوماتية القانونية</w:t>
      </w:r>
    </w:p>
    <w:p w:rsidR="005A475C" w:rsidRDefault="005A475C" w:rsidP="005A475C">
      <w:pPr>
        <w:jc w:val="center"/>
        <w:rPr>
          <w:rFonts w:ascii="Simplified Arabic" w:hAnsi="Simplified Arabic" w:cs="Simplified Arabic"/>
          <w:b/>
          <w:bCs/>
          <w:sz w:val="28"/>
          <w:szCs w:val="28"/>
          <w:rtl/>
          <w:lang w:bidi="ar-LB"/>
        </w:rPr>
      </w:pPr>
    </w:p>
    <w:p w:rsidR="005A475C" w:rsidRPr="005A475C" w:rsidRDefault="005A475C" w:rsidP="005A475C">
      <w:pPr>
        <w:jc w:val="center"/>
        <w:rPr>
          <w:rFonts w:ascii="Simplified Arabic" w:hAnsi="Simplified Arabic" w:cs="Simplified Arabic"/>
          <w:b/>
          <w:bCs/>
          <w:sz w:val="28"/>
          <w:szCs w:val="28"/>
          <w:rtl/>
          <w:lang w:bidi="ar-LB"/>
        </w:rPr>
      </w:pPr>
    </w:p>
    <w:p w:rsidR="005A475C" w:rsidRPr="005A475C" w:rsidRDefault="005A475C" w:rsidP="005A475C">
      <w:pPr>
        <w:jc w:val="center"/>
        <w:rPr>
          <w:rFonts w:ascii="Simplified Arabic" w:hAnsi="Simplified Arabic" w:cs="Simplified Arabic"/>
          <w:b/>
          <w:bCs/>
          <w:sz w:val="28"/>
          <w:szCs w:val="28"/>
          <w:rtl/>
          <w:lang w:bidi="ar-LB"/>
        </w:rPr>
      </w:pPr>
      <w:r w:rsidRPr="005A475C">
        <w:rPr>
          <w:rFonts w:ascii="Simplified Arabic" w:hAnsi="Simplified Arabic" w:cs="Simplified Arabic" w:hint="cs"/>
          <w:b/>
          <w:bCs/>
          <w:sz w:val="28"/>
          <w:szCs w:val="28"/>
          <w:rtl/>
          <w:lang w:bidi="ar-LB"/>
        </w:rPr>
        <w:t>الحكم القضائي بين النص التشريعي، التطبيق والتوثيق</w:t>
      </w:r>
    </w:p>
    <w:p w:rsidR="005A475C" w:rsidRDefault="005A475C" w:rsidP="005A475C">
      <w:pPr>
        <w:jc w:val="center"/>
        <w:rPr>
          <w:rFonts w:ascii="Simplified Arabic" w:hAnsi="Simplified Arabic" w:cs="Simplified Arabic"/>
          <w:b/>
          <w:bCs/>
          <w:sz w:val="28"/>
          <w:szCs w:val="28"/>
          <w:rtl/>
          <w:lang w:bidi="ar-LB"/>
        </w:rPr>
      </w:pPr>
    </w:p>
    <w:p w:rsidR="005A475C" w:rsidRDefault="005A475C" w:rsidP="005A475C">
      <w:pPr>
        <w:jc w:val="center"/>
        <w:rPr>
          <w:rFonts w:ascii="Simplified Arabic" w:hAnsi="Simplified Arabic" w:cs="Simplified Arabic"/>
          <w:b/>
          <w:bCs/>
          <w:sz w:val="28"/>
          <w:szCs w:val="28"/>
          <w:rtl/>
          <w:lang w:bidi="ar-LB"/>
        </w:rPr>
      </w:pPr>
    </w:p>
    <w:p w:rsidR="005A475C" w:rsidRDefault="005A475C" w:rsidP="005A475C">
      <w:pPr>
        <w:jc w:val="center"/>
        <w:rPr>
          <w:rFonts w:ascii="Simplified Arabic" w:hAnsi="Simplified Arabic" w:cs="Simplified Arabic"/>
          <w:b/>
          <w:bCs/>
          <w:sz w:val="28"/>
          <w:szCs w:val="28"/>
          <w:rtl/>
          <w:lang w:bidi="ar-LB"/>
        </w:rPr>
      </w:pPr>
    </w:p>
    <w:p w:rsidR="005A475C" w:rsidRPr="005A475C" w:rsidRDefault="005A475C" w:rsidP="005A475C">
      <w:pPr>
        <w:jc w:val="center"/>
        <w:rPr>
          <w:rFonts w:ascii="Simplified Arabic" w:hAnsi="Simplified Arabic" w:cs="Simplified Arabic"/>
          <w:b/>
          <w:bCs/>
          <w:sz w:val="28"/>
          <w:szCs w:val="28"/>
          <w:rtl/>
          <w:lang w:bidi="ar-LB"/>
        </w:rPr>
      </w:pPr>
    </w:p>
    <w:p w:rsidR="005A475C" w:rsidRPr="005A475C" w:rsidRDefault="005A475C" w:rsidP="005A475C">
      <w:pPr>
        <w:jc w:val="center"/>
        <w:rPr>
          <w:rFonts w:ascii="Simplified Arabic" w:hAnsi="Simplified Arabic" w:cs="Simplified Arabic"/>
          <w:b/>
          <w:bCs/>
          <w:sz w:val="28"/>
          <w:szCs w:val="28"/>
          <w:rtl/>
          <w:lang w:bidi="ar-LB"/>
        </w:rPr>
      </w:pPr>
      <w:r w:rsidRPr="005A475C">
        <w:rPr>
          <w:rFonts w:ascii="Simplified Arabic" w:hAnsi="Simplified Arabic" w:cs="Simplified Arabic" w:hint="cs"/>
          <w:b/>
          <w:bCs/>
          <w:sz w:val="28"/>
          <w:szCs w:val="28"/>
          <w:rtl/>
          <w:lang w:bidi="ar-LB"/>
        </w:rPr>
        <w:t>عميد كلية الحقوق والعلوم السياسية والادارية</w:t>
      </w:r>
    </w:p>
    <w:p w:rsidR="005A475C" w:rsidRPr="005A475C" w:rsidRDefault="005A475C" w:rsidP="005A475C">
      <w:pPr>
        <w:jc w:val="center"/>
        <w:rPr>
          <w:rFonts w:ascii="Simplified Arabic" w:hAnsi="Simplified Arabic" w:cs="Simplified Arabic"/>
          <w:b/>
          <w:bCs/>
          <w:sz w:val="28"/>
          <w:szCs w:val="28"/>
          <w:rtl/>
          <w:lang w:bidi="ar-LB"/>
        </w:rPr>
      </w:pPr>
      <w:r w:rsidRPr="005A475C">
        <w:rPr>
          <w:rFonts w:ascii="Simplified Arabic" w:hAnsi="Simplified Arabic" w:cs="Simplified Arabic" w:hint="cs"/>
          <w:b/>
          <w:bCs/>
          <w:sz w:val="28"/>
          <w:szCs w:val="28"/>
          <w:rtl/>
          <w:lang w:bidi="ar-LB"/>
        </w:rPr>
        <w:t>الدكتور كميل حبيب</w:t>
      </w:r>
    </w:p>
    <w:p w:rsidR="005A475C" w:rsidRPr="005A475C" w:rsidRDefault="005A475C" w:rsidP="005A475C">
      <w:pPr>
        <w:jc w:val="center"/>
        <w:rPr>
          <w:rFonts w:ascii="Simplified Arabic" w:hAnsi="Simplified Arabic" w:cs="Simplified Arabic"/>
          <w:b/>
          <w:bCs/>
          <w:sz w:val="28"/>
          <w:szCs w:val="28"/>
          <w:rtl/>
          <w:lang w:bidi="ar-LB"/>
        </w:rPr>
      </w:pPr>
    </w:p>
    <w:p w:rsidR="005A475C" w:rsidRPr="005A475C" w:rsidRDefault="005A475C" w:rsidP="005A475C">
      <w:pPr>
        <w:jc w:val="center"/>
        <w:rPr>
          <w:rFonts w:ascii="Simplified Arabic" w:hAnsi="Simplified Arabic" w:cs="Simplified Arabic"/>
          <w:b/>
          <w:bCs/>
          <w:sz w:val="28"/>
          <w:szCs w:val="28"/>
          <w:rtl/>
          <w:lang w:bidi="ar-LB"/>
        </w:rPr>
      </w:pPr>
    </w:p>
    <w:p w:rsidR="005A475C" w:rsidRPr="005A475C" w:rsidRDefault="005A475C" w:rsidP="005A475C">
      <w:pPr>
        <w:jc w:val="center"/>
        <w:rPr>
          <w:rFonts w:ascii="Simplified Arabic" w:hAnsi="Simplified Arabic" w:cs="Simplified Arabic"/>
          <w:b/>
          <w:bCs/>
          <w:sz w:val="28"/>
          <w:szCs w:val="28"/>
          <w:rtl/>
          <w:lang w:bidi="ar-LB"/>
        </w:rPr>
      </w:pPr>
    </w:p>
    <w:p w:rsidR="005A475C" w:rsidRPr="005A475C" w:rsidRDefault="005A475C" w:rsidP="005A475C">
      <w:pPr>
        <w:jc w:val="center"/>
        <w:rPr>
          <w:rFonts w:ascii="Simplified Arabic" w:hAnsi="Simplified Arabic" w:cs="Simplified Arabic"/>
          <w:b/>
          <w:bCs/>
          <w:sz w:val="28"/>
          <w:szCs w:val="28"/>
          <w:rtl/>
          <w:lang w:bidi="ar-LB"/>
        </w:rPr>
      </w:pPr>
      <w:r w:rsidRPr="005A475C">
        <w:rPr>
          <w:rFonts w:ascii="Simplified Arabic" w:hAnsi="Simplified Arabic" w:cs="Simplified Arabic" w:hint="cs"/>
          <w:b/>
          <w:bCs/>
          <w:sz w:val="28"/>
          <w:szCs w:val="28"/>
          <w:rtl/>
          <w:lang w:bidi="ar-LB"/>
        </w:rPr>
        <w:t>6 آذار 2015</w:t>
      </w:r>
    </w:p>
    <w:p w:rsidR="005A475C" w:rsidRDefault="005A475C">
      <w:pPr>
        <w:bidi w:val="0"/>
        <w:rPr>
          <w:rFonts w:ascii="Simplified Arabic" w:hAnsi="Simplified Arabic" w:cs="Simplified Arabic"/>
          <w:b/>
          <w:bCs/>
          <w:sz w:val="28"/>
          <w:szCs w:val="28"/>
          <w:rtl/>
          <w:lang w:bidi="ar-LB"/>
        </w:rPr>
      </w:pPr>
      <w:r>
        <w:rPr>
          <w:rFonts w:ascii="Simplified Arabic" w:hAnsi="Simplified Arabic" w:cs="Simplified Arabic"/>
          <w:b/>
          <w:bCs/>
          <w:sz w:val="28"/>
          <w:szCs w:val="28"/>
          <w:rtl/>
          <w:lang w:bidi="ar-LB"/>
        </w:rPr>
        <w:br w:type="page"/>
      </w:r>
    </w:p>
    <w:p w:rsidR="005A475C" w:rsidRPr="005A475C" w:rsidRDefault="005A475C" w:rsidP="005A475C">
      <w:pPr>
        <w:ind w:firstLine="720"/>
        <w:jc w:val="both"/>
        <w:rPr>
          <w:rFonts w:ascii="Simplified Arabic" w:hAnsi="Simplified Arabic" w:cs="Simplified Arabic"/>
          <w:sz w:val="28"/>
          <w:szCs w:val="28"/>
          <w:rtl/>
          <w:lang w:bidi="ar-LB"/>
        </w:rPr>
      </w:pPr>
      <w:r w:rsidRPr="005A475C">
        <w:rPr>
          <w:rFonts w:ascii="Simplified Arabic" w:hAnsi="Simplified Arabic" w:cs="Simplified Arabic" w:hint="cs"/>
          <w:sz w:val="28"/>
          <w:szCs w:val="28"/>
          <w:rtl/>
          <w:lang w:bidi="ar-LB"/>
        </w:rPr>
        <w:lastRenderedPageBreak/>
        <w:t xml:space="preserve">الرؤساء القضاة غالب غانم وسامي منصور </w:t>
      </w:r>
    </w:p>
    <w:p w:rsidR="005A475C" w:rsidRPr="005A475C" w:rsidRDefault="005A475C" w:rsidP="005A475C">
      <w:pPr>
        <w:ind w:firstLine="720"/>
        <w:jc w:val="both"/>
        <w:rPr>
          <w:rFonts w:ascii="Simplified Arabic" w:hAnsi="Simplified Arabic" w:cs="Simplified Arabic"/>
          <w:sz w:val="28"/>
          <w:szCs w:val="28"/>
          <w:rtl/>
          <w:lang w:bidi="ar-LB"/>
        </w:rPr>
      </w:pPr>
      <w:r w:rsidRPr="005A475C">
        <w:rPr>
          <w:rFonts w:ascii="Simplified Arabic" w:hAnsi="Simplified Arabic" w:cs="Simplified Arabic" w:hint="cs"/>
          <w:sz w:val="28"/>
          <w:szCs w:val="28"/>
          <w:rtl/>
          <w:lang w:bidi="ar-LB"/>
        </w:rPr>
        <w:t>رئيس مركز المعلوماتية القانونية</w:t>
      </w:r>
    </w:p>
    <w:p w:rsidR="005A475C" w:rsidRPr="005A475C" w:rsidRDefault="005A475C" w:rsidP="005A475C">
      <w:pPr>
        <w:ind w:firstLine="720"/>
        <w:jc w:val="both"/>
        <w:rPr>
          <w:rFonts w:ascii="Simplified Arabic" w:hAnsi="Simplified Arabic" w:cs="Simplified Arabic"/>
          <w:sz w:val="28"/>
          <w:szCs w:val="28"/>
          <w:rtl/>
          <w:lang w:bidi="ar-LB"/>
        </w:rPr>
      </w:pPr>
      <w:r w:rsidRPr="005A475C">
        <w:rPr>
          <w:rFonts w:ascii="Simplified Arabic" w:hAnsi="Simplified Arabic" w:cs="Simplified Arabic" w:hint="cs"/>
          <w:sz w:val="28"/>
          <w:szCs w:val="28"/>
          <w:rtl/>
          <w:lang w:bidi="ar-LB"/>
        </w:rPr>
        <w:t>الزملاء الأفاضل، الحضور الكريم</w:t>
      </w:r>
      <w:bookmarkStart w:id="0" w:name="_GoBack"/>
      <w:bookmarkEnd w:id="0"/>
    </w:p>
    <w:p w:rsidR="005A475C" w:rsidRPr="005A475C" w:rsidRDefault="005A475C" w:rsidP="005A475C">
      <w:pPr>
        <w:ind w:firstLine="720"/>
        <w:jc w:val="both"/>
        <w:rPr>
          <w:rFonts w:ascii="Simplified Arabic" w:hAnsi="Simplified Arabic" w:cs="Simplified Arabic"/>
          <w:sz w:val="28"/>
          <w:szCs w:val="28"/>
          <w:rtl/>
          <w:lang w:bidi="ar-LB"/>
        </w:rPr>
      </w:pPr>
    </w:p>
    <w:p w:rsidR="005A475C" w:rsidRPr="005A475C" w:rsidRDefault="005A475C" w:rsidP="005A475C">
      <w:pPr>
        <w:ind w:firstLine="720"/>
        <w:jc w:val="both"/>
        <w:rPr>
          <w:rFonts w:ascii="Simplified Arabic" w:hAnsi="Simplified Arabic" w:cs="Simplified Arabic"/>
          <w:b/>
          <w:bCs/>
          <w:sz w:val="28"/>
          <w:szCs w:val="28"/>
          <w:rtl/>
          <w:lang w:bidi="ar-LB"/>
        </w:rPr>
      </w:pPr>
      <w:r w:rsidRPr="005A475C">
        <w:rPr>
          <w:rFonts w:ascii="Simplified Arabic" w:hAnsi="Simplified Arabic" w:cs="Simplified Arabic" w:hint="cs"/>
          <w:sz w:val="28"/>
          <w:szCs w:val="28"/>
          <w:rtl/>
          <w:lang w:bidi="ar-LB"/>
        </w:rPr>
        <w:t>أرحّب بكم الى ورشة العمل التي تعالج "</w:t>
      </w:r>
      <w:r w:rsidRPr="005A475C">
        <w:rPr>
          <w:rFonts w:ascii="Simplified Arabic" w:hAnsi="Simplified Arabic" w:cs="Simplified Arabic" w:hint="cs"/>
          <w:b/>
          <w:bCs/>
          <w:sz w:val="28"/>
          <w:szCs w:val="28"/>
          <w:rtl/>
          <w:lang w:bidi="ar-LB"/>
        </w:rPr>
        <w:t xml:space="preserve">الحكم القضائي بين النص التشريعي، التطبيق والتوثيق" </w:t>
      </w:r>
    </w:p>
    <w:p w:rsidR="005A475C" w:rsidRPr="005A475C" w:rsidRDefault="005A475C" w:rsidP="005A475C">
      <w:pPr>
        <w:ind w:firstLine="720"/>
        <w:jc w:val="both"/>
        <w:rPr>
          <w:rFonts w:ascii="Simplified Arabic" w:hAnsi="Simplified Arabic" w:cs="Simplified Arabic"/>
          <w:sz w:val="28"/>
          <w:szCs w:val="28"/>
          <w:rtl/>
          <w:lang w:bidi="ar-LB"/>
        </w:rPr>
      </w:pPr>
      <w:r w:rsidRPr="005A475C">
        <w:rPr>
          <w:rFonts w:ascii="Simplified Arabic" w:hAnsi="Simplified Arabic" w:cs="Simplified Arabic" w:hint="cs"/>
          <w:sz w:val="28"/>
          <w:szCs w:val="28"/>
          <w:rtl/>
          <w:lang w:bidi="ar-LB"/>
        </w:rPr>
        <w:t xml:space="preserve">ان حضور الرئيس القاضي غالب غانم والرئيس القاضي د. سامي منصور قيمة علمية وانسانية مضافة تساهم في توسيع </w:t>
      </w:r>
      <w:r w:rsidR="00B12DBF">
        <w:rPr>
          <w:rFonts w:ascii="Simplified Arabic" w:hAnsi="Simplified Arabic" w:cs="Simplified Arabic" w:hint="cs"/>
          <w:sz w:val="28"/>
          <w:szCs w:val="28"/>
          <w:rtl/>
          <w:lang w:bidi="ar-LB"/>
        </w:rPr>
        <w:t>م</w:t>
      </w:r>
      <w:r w:rsidRPr="005A475C">
        <w:rPr>
          <w:rFonts w:ascii="Simplified Arabic" w:hAnsi="Simplified Arabic" w:cs="Simplified Arabic" w:hint="cs"/>
          <w:sz w:val="28"/>
          <w:szCs w:val="28"/>
          <w:rtl/>
          <w:lang w:bidi="ar-LB"/>
        </w:rPr>
        <w:t xml:space="preserve">ساحة العقل في هذا الزمن الرديء العاصف مذهبياً وطائفياً. فالرئيسان </w:t>
      </w:r>
      <w:r>
        <w:rPr>
          <w:rFonts w:ascii="Simplified Arabic" w:hAnsi="Simplified Arabic" w:cs="Simplified Arabic" w:hint="cs"/>
          <w:sz w:val="28"/>
          <w:szCs w:val="28"/>
          <w:rtl/>
          <w:lang w:bidi="ar-LB"/>
        </w:rPr>
        <w:t>القاضيان شمعتان مضيئتان على ضفاف</w:t>
      </w:r>
      <w:r w:rsidRPr="005A475C">
        <w:rPr>
          <w:rFonts w:ascii="Simplified Arabic" w:hAnsi="Simplified Arabic" w:cs="Simplified Arabic" w:hint="cs"/>
          <w:sz w:val="28"/>
          <w:szCs w:val="28"/>
          <w:rtl/>
          <w:lang w:bidi="ar-LB"/>
        </w:rPr>
        <w:t xml:space="preserve"> زمن جميل نسعى لعودته لأجل الجامعة والوطن والانسان.</w:t>
      </w:r>
    </w:p>
    <w:p w:rsidR="005A475C" w:rsidRPr="005A475C" w:rsidRDefault="005A475C" w:rsidP="005A475C">
      <w:pPr>
        <w:ind w:firstLine="720"/>
        <w:jc w:val="both"/>
        <w:rPr>
          <w:rFonts w:ascii="Simplified Arabic" w:hAnsi="Simplified Arabic" w:cs="Simplified Arabic"/>
          <w:sz w:val="28"/>
          <w:szCs w:val="28"/>
          <w:rtl/>
          <w:lang w:bidi="ar-LB"/>
        </w:rPr>
      </w:pPr>
    </w:p>
    <w:p w:rsidR="005A475C" w:rsidRPr="005A475C" w:rsidRDefault="005A475C" w:rsidP="005A475C">
      <w:pPr>
        <w:ind w:firstLine="720"/>
        <w:jc w:val="both"/>
        <w:rPr>
          <w:rFonts w:ascii="Simplified Arabic" w:hAnsi="Simplified Arabic" w:cs="Simplified Arabic"/>
          <w:sz w:val="28"/>
          <w:szCs w:val="28"/>
          <w:rtl/>
          <w:lang w:bidi="ar-LB"/>
        </w:rPr>
      </w:pPr>
      <w:r w:rsidRPr="005A475C">
        <w:rPr>
          <w:rFonts w:ascii="Simplified Arabic" w:hAnsi="Simplified Arabic" w:cs="Simplified Arabic" w:hint="cs"/>
          <w:sz w:val="28"/>
          <w:szCs w:val="28"/>
          <w:rtl/>
          <w:lang w:bidi="ar-LB"/>
        </w:rPr>
        <w:t xml:space="preserve">ايها الحضور </w:t>
      </w:r>
    </w:p>
    <w:p w:rsidR="004B399F" w:rsidRPr="00753B51" w:rsidRDefault="004B399F" w:rsidP="005A475C">
      <w:pPr>
        <w:ind w:firstLine="720"/>
        <w:jc w:val="center"/>
        <w:rPr>
          <w:rFonts w:ascii="Simplified Arabic" w:hAnsi="Simplified Arabic" w:cs="Simplified Arabic"/>
          <w:b/>
          <w:bCs/>
          <w:sz w:val="28"/>
          <w:szCs w:val="28"/>
          <w:rtl/>
          <w:lang w:bidi="ar-LB"/>
        </w:rPr>
      </w:pPr>
    </w:p>
    <w:p w:rsidR="00F71280" w:rsidRDefault="00F71280" w:rsidP="005A475C">
      <w:pPr>
        <w:ind w:firstLine="720"/>
        <w:rPr>
          <w:rtl/>
          <w:lang w:bidi="ar-LB"/>
        </w:rPr>
      </w:pPr>
    </w:p>
    <w:p w:rsidR="00C40E92" w:rsidRPr="00745ACE" w:rsidRDefault="00C40E92" w:rsidP="005A475C">
      <w:pPr>
        <w:tabs>
          <w:tab w:val="left" w:pos="26"/>
        </w:tabs>
        <w:ind w:firstLine="720"/>
        <w:jc w:val="lowKashida"/>
        <w:rPr>
          <w:rFonts w:cs="Simplified Arabic"/>
          <w:sz w:val="28"/>
          <w:szCs w:val="28"/>
          <w:rtl/>
          <w:lang w:val="fr-BE"/>
        </w:rPr>
      </w:pPr>
      <w:r w:rsidRPr="00745ACE">
        <w:rPr>
          <w:rFonts w:cs="Simplified Arabic" w:hint="cs"/>
          <w:sz w:val="28"/>
          <w:szCs w:val="28"/>
          <w:rtl/>
          <w:lang w:val="fr-BE"/>
        </w:rPr>
        <w:t>القانون، القرار الإداري، والحكم القضائي، هي أدوات السلطات الدستورية في تسيير شؤون المجتمع، وهي جميعها تأتي كتعبير عن سلطان الدولة وامتيازات السلطات التي تسمو على إرادة الأفراد، وهي بجميعها تحوز لحظة صدورها للقوة التنفيذية التي تجعل الأفراد خاضعين لها وملزمين بتنفيذها.</w:t>
      </w:r>
    </w:p>
    <w:p w:rsidR="00C40E92" w:rsidRPr="00745ACE" w:rsidRDefault="00C40E92" w:rsidP="005A475C">
      <w:pPr>
        <w:tabs>
          <w:tab w:val="left" w:pos="26"/>
        </w:tabs>
        <w:ind w:firstLine="720"/>
        <w:jc w:val="lowKashida"/>
        <w:rPr>
          <w:rFonts w:cs="Simplified Arabic"/>
          <w:sz w:val="28"/>
          <w:szCs w:val="28"/>
          <w:rtl/>
          <w:lang w:val="fr-BE"/>
        </w:rPr>
      </w:pPr>
    </w:p>
    <w:p w:rsidR="00C40E92" w:rsidRPr="00745ACE" w:rsidRDefault="00C40E92" w:rsidP="005A475C">
      <w:pPr>
        <w:tabs>
          <w:tab w:val="left" w:pos="26"/>
        </w:tabs>
        <w:ind w:firstLine="720"/>
        <w:jc w:val="lowKashida"/>
        <w:rPr>
          <w:rFonts w:cs="Simplified Arabic"/>
          <w:color w:val="000000"/>
          <w:sz w:val="28"/>
          <w:szCs w:val="28"/>
          <w:rtl/>
          <w:lang w:bidi="ar-LB"/>
        </w:rPr>
      </w:pPr>
      <w:r w:rsidRPr="00745ACE">
        <w:rPr>
          <w:rFonts w:cs="Simplified Arabic" w:hint="cs"/>
          <w:sz w:val="28"/>
          <w:szCs w:val="28"/>
          <w:rtl/>
          <w:lang w:val="fr-BE"/>
        </w:rPr>
        <w:t xml:space="preserve">وما يميّز الحكم القضائي أنه الأداة التي بموجبها يعمل القاضي على الفصل بالنزاع وفق أحكام القانون. وهو بهذه الخاصية يكون مكتسباً </w:t>
      </w:r>
      <w:r w:rsidRPr="00745ACE">
        <w:rPr>
          <w:rFonts w:cs="Simplified Arabic" w:hint="cs"/>
          <w:color w:val="000000"/>
          <w:sz w:val="28"/>
          <w:szCs w:val="28"/>
          <w:rtl/>
          <w:lang w:bidi="ar-LB"/>
        </w:rPr>
        <w:t>قوة الحقيقة القانونية، أي قوة الشيء المحكوم فيه، لصدوره من هيئة قضائية أناط بها الدستور مهمة تطبيق القانون، وأعطى لأحكامها ذات القوة التنفيذية التي يحوزها القانون.</w:t>
      </w:r>
    </w:p>
    <w:p w:rsidR="00C40E92" w:rsidRPr="00745ACE" w:rsidRDefault="00C40E92" w:rsidP="005A475C">
      <w:pPr>
        <w:tabs>
          <w:tab w:val="left" w:pos="26"/>
        </w:tabs>
        <w:ind w:firstLine="720"/>
        <w:jc w:val="lowKashida"/>
        <w:rPr>
          <w:rFonts w:cs="Simplified Arabic"/>
          <w:color w:val="000000"/>
          <w:sz w:val="28"/>
          <w:szCs w:val="28"/>
          <w:rtl/>
          <w:lang w:bidi="ar-LB"/>
        </w:rPr>
      </w:pPr>
      <w:r w:rsidRPr="00745ACE">
        <w:rPr>
          <w:rFonts w:cs="Simplified Arabic" w:hint="cs"/>
          <w:color w:val="000000"/>
          <w:sz w:val="28"/>
          <w:szCs w:val="28"/>
          <w:rtl/>
          <w:lang w:bidi="ar-LB"/>
        </w:rPr>
        <w:t>ولولا هذه القوّة لأصبح القانون بذاته لغواً، لأن ما فائدة هذا القانون إذا كان بإمكان الأفراد التملّص منه والامتناع عن الالتزام بأحكامه،  أو رفض تطبيقه، وهنا كان دور القضاء في إلزام الكافة إدارات عامة وأفراد بالنزول عند حكم القانون.</w:t>
      </w:r>
    </w:p>
    <w:p w:rsidR="00C40E92" w:rsidRDefault="00C40E92" w:rsidP="005A475C">
      <w:pPr>
        <w:tabs>
          <w:tab w:val="left" w:pos="26"/>
        </w:tabs>
        <w:ind w:firstLine="720"/>
        <w:jc w:val="lowKashida"/>
        <w:rPr>
          <w:rFonts w:cs="Simplified Arabic"/>
          <w:sz w:val="28"/>
          <w:szCs w:val="28"/>
          <w:rtl/>
          <w:lang w:val="fr-FR" w:bidi="ar-LB"/>
        </w:rPr>
      </w:pPr>
      <w:r w:rsidRPr="00745ACE">
        <w:rPr>
          <w:rFonts w:cs="Simplified Arabic" w:hint="cs"/>
          <w:sz w:val="28"/>
          <w:szCs w:val="28"/>
          <w:rtl/>
          <w:lang w:val="fr-FR" w:bidi="ar-LB"/>
        </w:rPr>
        <w:t xml:space="preserve">فالقاضي حين ينطق بالقانون </w:t>
      </w:r>
      <w:r w:rsidRPr="00745ACE">
        <w:rPr>
          <w:rFonts w:cs="Simplified Arabic" w:hint="cs"/>
          <w:sz w:val="28"/>
          <w:szCs w:val="28"/>
          <w:rtl/>
          <w:lang w:bidi="ar-LB"/>
        </w:rPr>
        <w:t xml:space="preserve">يعني أن ما تضمنه الحكم القضائي من حجية الشيء المقضى به هو عنوان الحقيقة الملزمة ويحوز القوة الإلزامية، وعلى الإدارة موجب تنفيذ الأحكام القضائية فور </w:t>
      </w:r>
      <w:r w:rsidRPr="00745ACE">
        <w:rPr>
          <w:rFonts w:cs="Simplified Arabic" w:hint="cs"/>
          <w:sz w:val="28"/>
          <w:szCs w:val="28"/>
          <w:rtl/>
          <w:lang w:bidi="ar-LB"/>
        </w:rPr>
        <w:lastRenderedPageBreak/>
        <w:t xml:space="preserve">اقترانها بالقوة التنفيذية </w:t>
      </w:r>
      <w:r w:rsidRPr="00745ACE">
        <w:rPr>
          <w:rFonts w:cs="Simplified Arabic" w:hint="cs"/>
          <w:sz w:val="28"/>
          <w:szCs w:val="28"/>
          <w:rtl/>
          <w:lang w:val="fr-FR" w:bidi="ar-LB"/>
        </w:rPr>
        <w:t>وبلوغها قوة القضية المقضي بها.  وتنقسم هذه القوة التي يتصف بها الحكم القضائي إلى عنصرين، الحجية الشكلية وبمقتضاها لا يجوز المساس بالحكم القضائي، والحجية المادية عدم جواز المنازعة في ما قرره الحكم القضائي.</w:t>
      </w:r>
    </w:p>
    <w:p w:rsidR="00753B51" w:rsidRPr="00745ACE" w:rsidRDefault="00753B51" w:rsidP="005A475C">
      <w:pPr>
        <w:tabs>
          <w:tab w:val="left" w:pos="26"/>
        </w:tabs>
        <w:ind w:firstLine="720"/>
        <w:jc w:val="lowKashida"/>
        <w:rPr>
          <w:rFonts w:cs="Simplified Arabic"/>
          <w:sz w:val="28"/>
          <w:szCs w:val="28"/>
          <w:rtl/>
          <w:lang w:val="fr-FR" w:bidi="ar-LB"/>
        </w:rPr>
      </w:pPr>
    </w:p>
    <w:p w:rsidR="00C40E92" w:rsidRPr="00745ACE" w:rsidRDefault="00C40E92" w:rsidP="005A475C">
      <w:pPr>
        <w:pStyle w:val="BodyText"/>
        <w:spacing w:after="0"/>
        <w:ind w:firstLine="720"/>
        <w:jc w:val="lowKashida"/>
        <w:rPr>
          <w:rFonts w:cs="Simplified Arabic"/>
          <w:sz w:val="28"/>
          <w:szCs w:val="28"/>
          <w:rtl/>
          <w:lang w:bidi="ar-LB"/>
        </w:rPr>
      </w:pPr>
      <w:r w:rsidRPr="00745ACE">
        <w:rPr>
          <w:rFonts w:cs="Simplified Arabic" w:hint="cs"/>
          <w:sz w:val="28"/>
          <w:szCs w:val="28"/>
          <w:rtl/>
          <w:lang w:val="fr-BE"/>
        </w:rPr>
        <w:t xml:space="preserve">وحكمة هذه الحجية التي يتصف بها الحكم القضائي ترجع إلى طبيعة الوظيفة القضائية، التي تهدف إلى وضع حدٍ نهائيٍ للمنازعات التي تعرض على القضاء، فإذا لم يستطع القضاء وضع حد للمنازعة، وحسمها دون العودة لإثارة ذات القضية مجدداً، فإن ذلك سيؤثر سلباً على الأمن والاستقرار الاجتماعي.  </w:t>
      </w:r>
    </w:p>
    <w:p w:rsidR="00C40E92" w:rsidRPr="00745ACE" w:rsidRDefault="00C40E92" w:rsidP="005A475C">
      <w:pPr>
        <w:pStyle w:val="BodyText"/>
        <w:spacing w:after="0"/>
        <w:ind w:firstLine="720"/>
        <w:jc w:val="lowKashida"/>
        <w:rPr>
          <w:rFonts w:cs="Simplified Arabic"/>
          <w:sz w:val="28"/>
          <w:szCs w:val="28"/>
          <w:rtl/>
          <w:lang w:bidi="ar-LB"/>
        </w:rPr>
      </w:pPr>
      <w:r w:rsidRPr="00745ACE">
        <w:rPr>
          <w:rFonts w:cs="Simplified Arabic" w:hint="cs"/>
          <w:sz w:val="28"/>
          <w:szCs w:val="28"/>
          <w:rtl/>
          <w:lang w:bidi="ar-LB"/>
        </w:rPr>
        <w:t xml:space="preserve">فينعدم وجود السلطة القضائية تماماً، إذا لم يكن لأحكامها قوة تنفيذية تؤدي إلى إمكان تنفيذها جبراً على الأفراد بحيث تتحقق رسالة القضاء بفض المنازعات الفردية ومنع تأبيد النزاع عن طريق إثارته مرة ثانية. </w:t>
      </w:r>
    </w:p>
    <w:p w:rsidR="00C40E92" w:rsidRDefault="00C40E92" w:rsidP="005A475C">
      <w:pPr>
        <w:pStyle w:val="FootnoteText"/>
        <w:ind w:firstLine="720"/>
        <w:jc w:val="both"/>
        <w:rPr>
          <w:rFonts w:cs="Simplified Arabic"/>
          <w:sz w:val="28"/>
          <w:szCs w:val="28"/>
          <w:rtl/>
          <w:lang w:val="fr-BE"/>
        </w:rPr>
      </w:pPr>
    </w:p>
    <w:p w:rsidR="00C40E92" w:rsidRDefault="00C40E92" w:rsidP="005A475C">
      <w:pPr>
        <w:pStyle w:val="FootnoteText"/>
        <w:ind w:firstLine="720"/>
        <w:jc w:val="both"/>
        <w:rPr>
          <w:rFonts w:cs="Simplified Arabic"/>
          <w:sz w:val="28"/>
          <w:szCs w:val="28"/>
          <w:rtl/>
          <w:lang w:val="fr-BE"/>
        </w:rPr>
      </w:pPr>
      <w:r>
        <w:rPr>
          <w:rFonts w:cs="Simplified Arabic" w:hint="cs"/>
          <w:sz w:val="28"/>
          <w:szCs w:val="28"/>
          <w:rtl/>
          <w:lang w:val="fr-BE"/>
        </w:rPr>
        <w:t>وبسبب الرباط القوي بين القانون والحكم القضائي، ولكون الثاني هو مجازاً بمثابة المنارة المعتمدة لتطبيق الأول، كان لا بد أن يأتي الحكم متضمناً النص القانوني الذي سعى الحكم القضائي إلى تطبيقه.</w:t>
      </w:r>
    </w:p>
    <w:p w:rsidR="00753B51" w:rsidRDefault="00753B51" w:rsidP="005A475C">
      <w:pPr>
        <w:pStyle w:val="FootnoteText"/>
        <w:ind w:firstLine="720"/>
        <w:jc w:val="both"/>
        <w:rPr>
          <w:rFonts w:cs="Simplified Arabic"/>
          <w:sz w:val="28"/>
          <w:szCs w:val="28"/>
          <w:rtl/>
          <w:lang w:val="fr-BE"/>
        </w:rPr>
      </w:pPr>
    </w:p>
    <w:p w:rsidR="00C40E92" w:rsidRPr="00C40E92" w:rsidRDefault="00C40E92" w:rsidP="005A475C">
      <w:pPr>
        <w:pStyle w:val="FootnoteText"/>
        <w:ind w:firstLine="720"/>
        <w:jc w:val="both"/>
        <w:rPr>
          <w:rFonts w:cs="Simplified Arabic"/>
          <w:sz w:val="28"/>
          <w:szCs w:val="28"/>
          <w:rtl/>
          <w:lang w:val="fr-BE"/>
        </w:rPr>
      </w:pPr>
      <w:r w:rsidRPr="00C40E92">
        <w:rPr>
          <w:rFonts w:cs="Simplified Arabic" w:hint="cs"/>
          <w:sz w:val="28"/>
          <w:szCs w:val="28"/>
          <w:rtl/>
          <w:lang w:val="fr-BE"/>
        </w:rPr>
        <w:t>وهو ما يعرف باللغة القانونية، بتعليل الحكم، أو بيان الأسباب التي دفعت القضائي إلى إصداره، حيث يتألف ال</w:t>
      </w:r>
      <w:r w:rsidRPr="00C40E92">
        <w:rPr>
          <w:rFonts w:ascii="Simplified Arabic" w:eastAsiaTheme="minorHAnsi" w:hAnsi="Simplified Arabic" w:cs="Simplified Arabic"/>
          <w:sz w:val="28"/>
          <w:szCs w:val="28"/>
          <w:rtl/>
        </w:rPr>
        <w:t>حكم</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أو</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hint="cs"/>
          <w:sz w:val="28"/>
          <w:szCs w:val="28"/>
          <w:rtl/>
        </w:rPr>
        <w:t>ال</w:t>
      </w:r>
      <w:r w:rsidRPr="00C40E92">
        <w:rPr>
          <w:rFonts w:ascii="Simplified Arabic" w:eastAsiaTheme="minorHAnsi" w:hAnsi="Simplified Arabic" w:cs="Simplified Arabic"/>
          <w:sz w:val="28"/>
          <w:szCs w:val="28"/>
          <w:rtl/>
        </w:rPr>
        <w:t>ق</w:t>
      </w:r>
      <w:r w:rsidRPr="00C40E92">
        <w:rPr>
          <w:rFonts w:ascii="Simplified Arabic" w:eastAsiaTheme="minorHAnsi" w:hAnsi="Simplified Arabic" w:cs="Simplified Arabic" w:hint="cs"/>
          <w:sz w:val="28"/>
          <w:szCs w:val="28"/>
          <w:rtl/>
        </w:rPr>
        <w:t>رار</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hint="cs"/>
          <w:sz w:val="28"/>
          <w:szCs w:val="28"/>
          <w:rtl/>
        </w:rPr>
        <w:t>ال</w:t>
      </w:r>
      <w:r w:rsidRPr="00C40E92">
        <w:rPr>
          <w:rFonts w:ascii="Simplified Arabic" w:eastAsiaTheme="minorHAnsi" w:hAnsi="Simplified Arabic" w:cs="Simplified Arabic"/>
          <w:sz w:val="28"/>
          <w:szCs w:val="28"/>
          <w:rtl/>
        </w:rPr>
        <w:t>قضائ</w:t>
      </w:r>
      <w:r w:rsidRPr="00C40E92">
        <w:rPr>
          <w:rFonts w:ascii="Simplified Arabic" w:eastAsiaTheme="minorHAnsi" w:hAnsi="Simplified Arabic" w:cs="Simplified Arabic" w:hint="cs"/>
          <w:sz w:val="28"/>
          <w:szCs w:val="28"/>
          <w:rtl/>
        </w:rPr>
        <w:t>ي</w:t>
      </w:r>
      <w:r w:rsidRPr="00C40E92">
        <w:rPr>
          <w:rFonts w:ascii="Simplified Arabic" w:eastAsiaTheme="minorHAnsi" w:hAnsi="Simplified Arabic" w:cs="Simplified Arabic"/>
          <w:sz w:val="28"/>
          <w:szCs w:val="28"/>
          <w:rtl/>
        </w:rPr>
        <w:t>،</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من</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فقرة</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حُكميّة</w:t>
      </w:r>
      <w:r w:rsidRPr="00C40E92">
        <w:rPr>
          <w:rFonts w:ascii="Simplified Arabic" w:eastAsiaTheme="minorHAnsi" w:hAnsi="Simplified Arabic" w:cs="Simplified Arabic" w:hint="cs"/>
          <w:sz w:val="28"/>
          <w:szCs w:val="28"/>
          <w:rtl/>
        </w:rPr>
        <w:t xml:space="preserve"> </w:t>
      </w:r>
      <w:r w:rsidRPr="00C40E92">
        <w:rPr>
          <w:rFonts w:ascii="Simplified Arabic" w:eastAsiaTheme="minorHAnsi" w:hAnsi="Simplified Arabic" w:cs="Simplified Arabic"/>
          <w:sz w:val="28"/>
          <w:szCs w:val="28"/>
          <w:rtl/>
        </w:rPr>
        <w:t>أي</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الفقرة</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التي</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hint="cs"/>
          <w:sz w:val="28"/>
          <w:szCs w:val="28"/>
          <w:rtl/>
        </w:rPr>
        <w:t>تأتي في خاتمة الحكم وتبيّن الحل الذي انتهت إليه المحكمة</w:t>
      </w:r>
      <w:r w:rsidRPr="00C40E92">
        <w:rPr>
          <w:rFonts w:ascii="Simplified Arabic" w:eastAsiaTheme="minorHAnsi" w:hAnsi="Simplified Arabic" w:cs="Simplified Arabic"/>
          <w:sz w:val="28"/>
          <w:szCs w:val="28"/>
          <w:rtl/>
        </w:rPr>
        <w:t>،</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ومن</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حيثيّات</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أو</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تعليل</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أو</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أسبا</w:t>
      </w:r>
      <w:r w:rsidRPr="00C40E92">
        <w:rPr>
          <w:rFonts w:ascii="Simplified Arabic" w:eastAsiaTheme="minorHAnsi" w:hAnsi="Simplified Arabic" w:cs="Simplified Arabic" w:hint="cs"/>
          <w:sz w:val="28"/>
          <w:szCs w:val="28"/>
          <w:rtl/>
        </w:rPr>
        <w:t>ب أي ما ي</w:t>
      </w:r>
      <w:r w:rsidRPr="00C40E92">
        <w:rPr>
          <w:rFonts w:ascii="Simplified Arabic" w:eastAsiaTheme="minorHAnsi" w:hAnsi="Simplified Arabic" w:cs="Simplified Arabic"/>
          <w:sz w:val="28"/>
          <w:szCs w:val="28"/>
          <w:rtl/>
        </w:rPr>
        <w:t>سوقه</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hint="cs"/>
          <w:sz w:val="28"/>
          <w:szCs w:val="28"/>
          <w:rtl/>
        </w:rPr>
        <w:t xml:space="preserve">الحكم </w:t>
      </w:r>
      <w:r w:rsidRPr="00C40E92">
        <w:rPr>
          <w:rFonts w:ascii="Simplified Arabic" w:eastAsiaTheme="minorHAnsi" w:hAnsi="Simplified Arabic" w:cs="Simplified Arabic"/>
          <w:sz w:val="28"/>
          <w:szCs w:val="28"/>
          <w:rtl/>
        </w:rPr>
        <w:t>من</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أدلَّة</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واقعيّة</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وحجج</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 xml:space="preserve">قانونيّة </w:t>
      </w:r>
      <w:r w:rsidRPr="00C40E92">
        <w:rPr>
          <w:rFonts w:ascii="Simplified Arabic" w:eastAsiaTheme="minorHAnsi" w:hAnsi="Simplified Arabic" w:cs="Simplified Arabic" w:hint="cs"/>
          <w:sz w:val="28"/>
          <w:szCs w:val="28"/>
          <w:rtl/>
        </w:rPr>
        <w:t>و</w:t>
      </w:r>
      <w:r w:rsidRPr="00C40E92">
        <w:rPr>
          <w:rFonts w:ascii="Simplified Arabic" w:eastAsiaTheme="minorHAnsi" w:hAnsi="Simplified Arabic" w:cs="Simplified Arabic"/>
          <w:sz w:val="28"/>
          <w:szCs w:val="28"/>
          <w:rtl/>
        </w:rPr>
        <w:t>مُسوِّغات</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بُنِيَ</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عليها</w:t>
      </w:r>
      <w:r w:rsidRPr="00C40E92">
        <w:rPr>
          <w:rFonts w:ascii="Simplified Arabic" w:eastAsiaTheme="minorHAnsi" w:hAnsi="Simplified Arabic" w:cs="Simplified Arabic" w:hint="cs"/>
          <w:sz w:val="28"/>
          <w:szCs w:val="28"/>
          <w:rtl/>
        </w:rPr>
        <w:t xml:space="preserve"> ال</w:t>
      </w:r>
      <w:r w:rsidRPr="00C40E92">
        <w:rPr>
          <w:rFonts w:ascii="Simplified Arabic" w:eastAsiaTheme="minorHAnsi" w:hAnsi="Simplified Arabic" w:cs="Simplified Arabic"/>
          <w:sz w:val="28"/>
          <w:szCs w:val="28"/>
          <w:rtl/>
        </w:rPr>
        <w:t>ق</w:t>
      </w:r>
      <w:r w:rsidRPr="00C40E92">
        <w:rPr>
          <w:rFonts w:ascii="Simplified Arabic" w:eastAsiaTheme="minorHAnsi" w:hAnsi="Simplified Arabic" w:cs="Simplified Arabic" w:hint="cs"/>
          <w:sz w:val="28"/>
          <w:szCs w:val="28"/>
          <w:rtl/>
        </w:rPr>
        <w:t>را</w:t>
      </w:r>
      <w:r w:rsidRPr="00C40E92">
        <w:rPr>
          <w:rFonts w:ascii="Simplified Arabic" w:eastAsiaTheme="minorHAnsi" w:hAnsi="Simplified Arabic" w:cs="Simplified Arabic"/>
          <w:sz w:val="28"/>
          <w:szCs w:val="28"/>
          <w:rtl/>
        </w:rPr>
        <w:t>ر</w:t>
      </w:r>
      <w:r w:rsidRPr="00C40E92">
        <w:rPr>
          <w:rFonts w:ascii="Simplified Arabic" w:eastAsiaTheme="minorHAnsi" w:hAnsi="Simplified Arabic" w:cs="Simplified Arabic" w:hint="cs"/>
          <w:sz w:val="28"/>
          <w:szCs w:val="28"/>
          <w:rtl/>
        </w:rPr>
        <w:t>. فا</w:t>
      </w:r>
      <w:r w:rsidRPr="00C40E92">
        <w:rPr>
          <w:rFonts w:ascii="Simplified Arabic" w:eastAsiaTheme="minorHAnsi" w:hAnsi="Simplified Arabic" w:cs="Simplified Arabic"/>
          <w:sz w:val="28"/>
          <w:szCs w:val="28"/>
          <w:rtl/>
        </w:rPr>
        <w:t>لتعليل</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هو</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الجزء</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الأول</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من</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الحُكْم</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أو</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w:t>
      </w:r>
      <w:r w:rsidRPr="00C40E92">
        <w:rPr>
          <w:rFonts w:ascii="Simplified Arabic" w:eastAsiaTheme="minorHAnsi" w:hAnsi="Simplified Arabic" w:cs="Simplified Arabic" w:hint="cs"/>
          <w:sz w:val="28"/>
          <w:szCs w:val="28"/>
          <w:rtl/>
        </w:rPr>
        <w:t>قرار</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القضائي</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الذي</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تُبيِّن</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فيه</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المحكمة</w:t>
      </w:r>
      <w:r w:rsidRPr="00C40E92">
        <w:rPr>
          <w:rFonts w:ascii="Simplified Arabic" w:eastAsiaTheme="minorHAnsi" w:hAnsi="Simplified Arabic" w:cs="Simplified Arabic" w:hint="cs"/>
          <w:sz w:val="28"/>
          <w:szCs w:val="28"/>
          <w:rtl/>
        </w:rPr>
        <w:t xml:space="preserve"> </w:t>
      </w:r>
      <w:r w:rsidRPr="00C40E92">
        <w:rPr>
          <w:rFonts w:ascii="Simplified Arabic" w:eastAsiaTheme="minorHAnsi" w:hAnsi="Simplified Arabic" w:cs="Simplified Arabic"/>
          <w:sz w:val="28"/>
          <w:szCs w:val="28"/>
          <w:rtl/>
        </w:rPr>
        <w:t>الأسباب</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والعِلل</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الواقعيّة</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والقانونيّة</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التي</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حتَّمت</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عليها</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الإنتهاء</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إلى</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الحل</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الذي</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أعطته</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hint="cs"/>
          <w:sz w:val="28"/>
          <w:szCs w:val="28"/>
          <w:rtl/>
        </w:rPr>
        <w:t xml:space="preserve">للنزاع في </w:t>
      </w:r>
      <w:r w:rsidRPr="00C40E92">
        <w:rPr>
          <w:rFonts w:ascii="Simplified Arabic" w:eastAsiaTheme="minorHAnsi" w:hAnsi="Simplified Arabic" w:cs="Simplified Arabic"/>
          <w:sz w:val="28"/>
          <w:szCs w:val="28"/>
          <w:rtl/>
        </w:rPr>
        <w:t>الفقرة</w:t>
      </w:r>
      <w:r w:rsidRPr="00C40E92">
        <w:rPr>
          <w:rFonts w:ascii="Simplified Arabic" w:eastAsiaTheme="minorHAnsi" w:hAnsi="Simplified Arabic" w:cs="Simplified Arabic"/>
          <w:sz w:val="28"/>
          <w:szCs w:val="28"/>
        </w:rPr>
        <w:t xml:space="preserve"> </w:t>
      </w:r>
      <w:r w:rsidRPr="00C40E92">
        <w:rPr>
          <w:rFonts w:ascii="Simplified Arabic" w:eastAsiaTheme="minorHAnsi" w:hAnsi="Simplified Arabic" w:cs="Simplified Arabic"/>
          <w:sz w:val="28"/>
          <w:szCs w:val="28"/>
          <w:rtl/>
        </w:rPr>
        <w:t>الحُكْميّة</w:t>
      </w:r>
      <w:r w:rsidRPr="00C40E92">
        <w:rPr>
          <w:rFonts w:ascii="Simplified Arabic" w:eastAsiaTheme="minorHAnsi" w:hAnsi="Simplified Arabic" w:cs="Simplified Arabic"/>
          <w:sz w:val="28"/>
          <w:szCs w:val="28"/>
        </w:rPr>
        <w:t>.</w:t>
      </w:r>
    </w:p>
    <w:p w:rsidR="00C40E92" w:rsidRPr="00C40E92" w:rsidRDefault="00C40E92" w:rsidP="005A475C">
      <w:pPr>
        <w:autoSpaceDE w:val="0"/>
        <w:autoSpaceDN w:val="0"/>
        <w:adjustRightInd w:val="0"/>
        <w:ind w:firstLine="720"/>
        <w:jc w:val="both"/>
        <w:rPr>
          <w:rFonts w:ascii="Simplified Arabic" w:eastAsiaTheme="minorHAnsi" w:hAnsi="Simplified Arabic" w:cs="Simplified Arabic"/>
          <w:sz w:val="28"/>
          <w:szCs w:val="28"/>
          <w:rtl/>
        </w:rPr>
      </w:pPr>
      <w:r w:rsidRPr="00C40E92">
        <w:rPr>
          <w:rFonts w:ascii="Simplified Arabic" w:eastAsiaTheme="minorHAnsi" w:hAnsi="Simplified Arabic" w:cs="Simplified Arabic" w:hint="cs"/>
          <w:sz w:val="28"/>
          <w:szCs w:val="28"/>
          <w:rtl/>
        </w:rPr>
        <w:t xml:space="preserve">وهنا يظهر الارتباط الوثيق بين الفقرة الحكمية وحيثيات الحكم، بحيث يقتضي أن تكون منسجمة ومتوافقة ومترابطة مع الفقرة الحكمية وموصلة إلى النتيجة التي انتهت إليها هذه الفقرة. </w:t>
      </w:r>
    </w:p>
    <w:p w:rsidR="00C40E92" w:rsidRDefault="00C40E92" w:rsidP="005A475C">
      <w:pPr>
        <w:autoSpaceDE w:val="0"/>
        <w:autoSpaceDN w:val="0"/>
        <w:adjustRightInd w:val="0"/>
        <w:ind w:firstLine="720"/>
        <w:jc w:val="both"/>
        <w:rPr>
          <w:b/>
          <w:bCs/>
          <w:sz w:val="26"/>
          <w:szCs w:val="26"/>
          <w:rtl/>
        </w:rPr>
      </w:pPr>
    </w:p>
    <w:p w:rsidR="00C40E92" w:rsidRPr="00753B51" w:rsidRDefault="00C40E92" w:rsidP="005A475C">
      <w:pPr>
        <w:ind w:firstLine="720"/>
        <w:jc w:val="both"/>
        <w:rPr>
          <w:rFonts w:ascii="Simplified Arabic" w:hAnsi="Simplified Arabic" w:cs="Simplified Arabic"/>
          <w:sz w:val="28"/>
          <w:szCs w:val="28"/>
          <w:rtl/>
        </w:rPr>
      </w:pPr>
      <w:r w:rsidRPr="00753B51">
        <w:rPr>
          <w:rFonts w:ascii="Simplified Arabic" w:hAnsi="Simplified Arabic" w:cs="Simplified Arabic"/>
          <w:sz w:val="28"/>
          <w:szCs w:val="28"/>
          <w:rtl/>
        </w:rPr>
        <w:t>ومن هنا تبرز أهمية الحيثيات، وإذا عملنا أن أهم ما تتضمنه هذه الحيثيات هو النص القانوني الذي يعمل القاضي على بيان أن وقائع القضية تدخل ضمن مندرجات هذا النص.</w:t>
      </w:r>
    </w:p>
    <w:p w:rsidR="00C40E92" w:rsidRPr="00753B51" w:rsidRDefault="00C40E92" w:rsidP="005A475C">
      <w:pPr>
        <w:ind w:firstLine="720"/>
        <w:jc w:val="both"/>
        <w:rPr>
          <w:rFonts w:ascii="Simplified Arabic" w:hAnsi="Simplified Arabic" w:cs="Simplified Arabic"/>
          <w:sz w:val="28"/>
          <w:szCs w:val="28"/>
          <w:rtl/>
        </w:rPr>
      </w:pPr>
      <w:r w:rsidRPr="00753B51">
        <w:rPr>
          <w:rFonts w:ascii="Simplified Arabic" w:hAnsi="Simplified Arabic" w:cs="Simplified Arabic"/>
          <w:sz w:val="28"/>
          <w:szCs w:val="28"/>
          <w:rtl/>
        </w:rPr>
        <w:lastRenderedPageBreak/>
        <w:t>ولهذا كان ذكر القانون في متن الاجتهاد قوّة للاجتهاد، بل وإن غياب النص، قد يؤدي إلى ضعف التعليل وفقدانه لأسسه ودافعاً نحو الطعن به، إذا ما أدى غيابه إلى إثارة الشك حول النص الذي يعمد القاضي على تطبيقه.</w:t>
      </w:r>
    </w:p>
    <w:p w:rsidR="00C40E92" w:rsidRPr="00753B51" w:rsidRDefault="00C40E92" w:rsidP="005A475C">
      <w:pPr>
        <w:ind w:firstLine="720"/>
        <w:jc w:val="both"/>
        <w:rPr>
          <w:rFonts w:ascii="Simplified Arabic" w:hAnsi="Simplified Arabic" w:cs="Simplified Arabic"/>
          <w:sz w:val="28"/>
          <w:szCs w:val="28"/>
          <w:rtl/>
        </w:rPr>
      </w:pPr>
      <w:r w:rsidRPr="00753B51">
        <w:rPr>
          <w:rFonts w:ascii="Simplified Arabic" w:hAnsi="Simplified Arabic" w:cs="Simplified Arabic"/>
          <w:sz w:val="28"/>
          <w:szCs w:val="28"/>
          <w:rtl/>
        </w:rPr>
        <w:t xml:space="preserve">إذٍ فإن ذكر </w:t>
      </w:r>
      <w:r w:rsidR="00753B51">
        <w:rPr>
          <w:rFonts w:ascii="Simplified Arabic" w:hAnsi="Simplified Arabic" w:cs="Simplified Arabic" w:hint="cs"/>
          <w:sz w:val="28"/>
          <w:szCs w:val="28"/>
          <w:rtl/>
        </w:rPr>
        <w:t xml:space="preserve">النص </w:t>
      </w:r>
      <w:r w:rsidRPr="00753B51">
        <w:rPr>
          <w:rFonts w:ascii="Simplified Arabic" w:hAnsi="Simplified Arabic" w:cs="Simplified Arabic"/>
          <w:sz w:val="28"/>
          <w:szCs w:val="28"/>
          <w:rtl/>
        </w:rPr>
        <w:t>القانون</w:t>
      </w:r>
      <w:r w:rsidR="00753B51">
        <w:rPr>
          <w:rFonts w:ascii="Simplified Arabic" w:hAnsi="Simplified Arabic" w:cs="Simplified Arabic" w:hint="cs"/>
          <w:sz w:val="28"/>
          <w:szCs w:val="28"/>
          <w:rtl/>
        </w:rPr>
        <w:t>ي</w:t>
      </w:r>
      <w:r w:rsidRPr="00753B51">
        <w:rPr>
          <w:rFonts w:ascii="Simplified Arabic" w:hAnsi="Simplified Arabic" w:cs="Simplified Arabic"/>
          <w:sz w:val="28"/>
          <w:szCs w:val="28"/>
          <w:rtl/>
        </w:rPr>
        <w:t xml:space="preserve"> في متن الحكم ليس ترفاً فكرياً، ولا أمراً ثانوياً، بل هو تدبير حوهري يؤدي تغييبه إلى الطعن في صحة الحكم.</w:t>
      </w:r>
    </w:p>
    <w:p w:rsidR="00F71280" w:rsidRDefault="00753B51" w:rsidP="005A475C">
      <w:pPr>
        <w:ind w:firstLine="720"/>
        <w:jc w:val="both"/>
        <w:rPr>
          <w:rFonts w:ascii="Simplified Arabic" w:hAnsi="Simplified Arabic" w:cs="Simplified Arabic"/>
          <w:sz w:val="28"/>
          <w:szCs w:val="28"/>
          <w:rtl/>
        </w:rPr>
      </w:pPr>
      <w:r w:rsidRPr="00753B51">
        <w:rPr>
          <w:rFonts w:ascii="Simplified Arabic" w:hAnsi="Simplified Arabic" w:cs="Simplified Arabic"/>
          <w:sz w:val="28"/>
          <w:szCs w:val="28"/>
          <w:rtl/>
        </w:rPr>
        <w:t>هي إذٍ علاقة وجودية بين القانون والحكم القضائي، فكلاهما يحييا معاً وكلاهما يطبقّا معاً، وكلاهما يقتضي أن يستمرا</w:t>
      </w:r>
      <w:r>
        <w:rPr>
          <w:rFonts w:ascii="Simplified Arabic" w:hAnsi="Simplified Arabic" w:cs="Simplified Arabic" w:hint="cs"/>
          <w:sz w:val="28"/>
          <w:szCs w:val="28"/>
          <w:rtl/>
        </w:rPr>
        <w:t xml:space="preserve"> معاً</w:t>
      </w:r>
      <w:r w:rsidRPr="00753B51">
        <w:rPr>
          <w:rFonts w:ascii="Simplified Arabic" w:hAnsi="Simplified Arabic" w:cs="Simplified Arabic"/>
          <w:sz w:val="28"/>
          <w:szCs w:val="28"/>
          <w:rtl/>
        </w:rPr>
        <w:t>، فلا نفهم النص القانوني بدون الاجتهاد، وكذلك لا نستطيع قراءة الحكم القضائي إلا من خلال النص.</w:t>
      </w:r>
    </w:p>
    <w:p w:rsidR="00753B51" w:rsidRPr="00753B51" w:rsidRDefault="00753B51" w:rsidP="005A475C">
      <w:pPr>
        <w:ind w:firstLine="720"/>
        <w:jc w:val="both"/>
        <w:rPr>
          <w:rFonts w:ascii="Simplified Arabic" w:hAnsi="Simplified Arabic" w:cs="Simplified Arabic"/>
          <w:sz w:val="28"/>
          <w:szCs w:val="28"/>
          <w:rtl/>
        </w:rPr>
      </w:pPr>
    </w:p>
    <w:p w:rsidR="00F71280" w:rsidRDefault="00753B51" w:rsidP="005A475C">
      <w:pPr>
        <w:ind w:firstLine="720"/>
        <w:jc w:val="both"/>
        <w:rPr>
          <w:rFonts w:ascii="Simplified Arabic" w:hAnsi="Simplified Arabic" w:cs="Simplified Arabic"/>
          <w:sz w:val="28"/>
          <w:szCs w:val="28"/>
          <w:rtl/>
        </w:rPr>
      </w:pPr>
      <w:r w:rsidRPr="00753B51">
        <w:rPr>
          <w:rFonts w:ascii="Simplified Arabic" w:hAnsi="Simplified Arabic" w:cs="Simplified Arabic"/>
          <w:sz w:val="28"/>
          <w:szCs w:val="28"/>
          <w:rtl/>
        </w:rPr>
        <w:t xml:space="preserve">ومن هنا أخلص إلى اقتراح أن يعمد القيّمون في مركز المعلوماتية القانونية إلى توثيق الحكم القضائي من خلال ربطه بالنص </w:t>
      </w:r>
      <w:r>
        <w:rPr>
          <w:rFonts w:ascii="Simplified Arabic" w:hAnsi="Simplified Arabic" w:cs="Simplified Arabic" w:hint="cs"/>
          <w:sz w:val="28"/>
          <w:szCs w:val="28"/>
          <w:rtl/>
        </w:rPr>
        <w:t xml:space="preserve">القانوني </w:t>
      </w:r>
      <w:r w:rsidRPr="00753B51">
        <w:rPr>
          <w:rFonts w:ascii="Simplified Arabic" w:hAnsi="Simplified Arabic" w:cs="Simplified Arabic"/>
          <w:sz w:val="28"/>
          <w:szCs w:val="28"/>
          <w:rtl/>
        </w:rPr>
        <w:t>محلّ التطبيق، لأن إغفال النص قد يثير الريبة في ذهن القارئ وقد يؤدي مع مرور الزمن إلى إساءة  التفسير أو الخطأ في استخلاص النتائج التي توخاها كلا من المشترع والقضائي على حدٍ سواء.</w:t>
      </w:r>
    </w:p>
    <w:p w:rsidR="005A475C" w:rsidRDefault="005A475C" w:rsidP="005A475C">
      <w:pPr>
        <w:ind w:firstLine="720"/>
        <w:jc w:val="both"/>
        <w:rPr>
          <w:rFonts w:ascii="Simplified Arabic" w:hAnsi="Simplified Arabic" w:cs="Simplified Arabic"/>
          <w:sz w:val="28"/>
          <w:szCs w:val="28"/>
          <w:rtl/>
        </w:rPr>
      </w:pPr>
    </w:p>
    <w:p w:rsidR="005A475C" w:rsidRPr="00753B51" w:rsidRDefault="005A475C" w:rsidP="005A475C">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وشكراً</w:t>
      </w:r>
    </w:p>
    <w:p w:rsidR="00753B51" w:rsidRDefault="00753B51" w:rsidP="005A475C">
      <w:pPr>
        <w:ind w:firstLine="720"/>
        <w:rPr>
          <w:rtl/>
          <w:lang w:bidi="ar-LB"/>
        </w:rPr>
      </w:pPr>
    </w:p>
    <w:p w:rsidR="00F71280" w:rsidRDefault="00F71280" w:rsidP="005A475C">
      <w:pPr>
        <w:ind w:firstLine="720"/>
        <w:rPr>
          <w:rtl/>
          <w:lang w:bidi="ar-LB"/>
        </w:rPr>
      </w:pPr>
    </w:p>
    <w:p w:rsidR="00F71280" w:rsidRDefault="00F71280" w:rsidP="005A475C">
      <w:pPr>
        <w:ind w:firstLine="720"/>
        <w:rPr>
          <w:lang w:bidi="ar-LB"/>
        </w:rPr>
      </w:pPr>
    </w:p>
    <w:sectPr w:rsidR="00F71280">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821" w:rsidRDefault="00D01821" w:rsidP="00C40E92">
      <w:r>
        <w:separator/>
      </w:r>
    </w:p>
  </w:endnote>
  <w:endnote w:type="continuationSeparator" w:id="0">
    <w:p w:rsidR="00D01821" w:rsidRDefault="00D01821" w:rsidP="00C4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6607204"/>
      <w:docPartObj>
        <w:docPartGallery w:val="Page Numbers (Bottom of Page)"/>
        <w:docPartUnique/>
      </w:docPartObj>
    </w:sdtPr>
    <w:sdtEndPr>
      <w:rPr>
        <w:noProof/>
      </w:rPr>
    </w:sdtEndPr>
    <w:sdtContent>
      <w:p w:rsidR="00B12DBF" w:rsidRDefault="00B12DBF">
        <w:pPr>
          <w:pStyle w:val="Footer"/>
          <w:jc w:val="center"/>
        </w:pPr>
        <w:r>
          <w:fldChar w:fldCharType="begin"/>
        </w:r>
        <w:r>
          <w:instrText xml:space="preserve"> PAGE   \* MERGEFORMAT </w:instrText>
        </w:r>
        <w:r>
          <w:fldChar w:fldCharType="separate"/>
        </w:r>
        <w:r w:rsidR="003712D3">
          <w:rPr>
            <w:noProof/>
            <w:rtl/>
          </w:rPr>
          <w:t>4</w:t>
        </w:r>
        <w:r>
          <w:rPr>
            <w:noProof/>
          </w:rPr>
          <w:fldChar w:fldCharType="end"/>
        </w:r>
      </w:p>
    </w:sdtContent>
  </w:sdt>
  <w:p w:rsidR="00B12DBF" w:rsidRDefault="00B12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821" w:rsidRDefault="00D01821" w:rsidP="00C40E92">
      <w:r>
        <w:separator/>
      </w:r>
    </w:p>
  </w:footnote>
  <w:footnote w:type="continuationSeparator" w:id="0">
    <w:p w:rsidR="00D01821" w:rsidRDefault="00D01821" w:rsidP="00C40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80"/>
    <w:rsid w:val="00227C3F"/>
    <w:rsid w:val="003712D3"/>
    <w:rsid w:val="004B399F"/>
    <w:rsid w:val="005A475C"/>
    <w:rsid w:val="00753B51"/>
    <w:rsid w:val="00804BD1"/>
    <w:rsid w:val="00951BB5"/>
    <w:rsid w:val="009E4140"/>
    <w:rsid w:val="00AD573B"/>
    <w:rsid w:val="00B12DBF"/>
    <w:rsid w:val="00B40331"/>
    <w:rsid w:val="00C40E92"/>
    <w:rsid w:val="00CE19F8"/>
    <w:rsid w:val="00D01821"/>
    <w:rsid w:val="00EC2C86"/>
    <w:rsid w:val="00F71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semiHidden/>
    <w:rsid w:val="00C40E92"/>
    <w:rPr>
      <w:rFonts w:eastAsia="Times New Roman" w:cs="Traditional Arabic"/>
      <w:noProof/>
      <w:sz w:val="20"/>
      <w:szCs w:val="20"/>
    </w:rPr>
  </w:style>
  <w:style w:type="character" w:customStyle="1" w:styleId="FootnoteTextChar">
    <w:name w:val="Footnote Text Char"/>
    <w:basedOn w:val="DefaultParagraphFont"/>
    <w:link w:val="FootnoteText"/>
    <w:semiHidden/>
    <w:rsid w:val="00C40E92"/>
    <w:rPr>
      <w:rFonts w:eastAsia="Times New Roman" w:cs="Traditional Arabic"/>
      <w:noProof/>
    </w:rPr>
  </w:style>
  <w:style w:type="paragraph" w:styleId="BodyText">
    <w:name w:val="Body Text"/>
    <w:basedOn w:val="Normal"/>
    <w:link w:val="BodyTextChar"/>
    <w:rsid w:val="00C40E92"/>
    <w:pPr>
      <w:spacing w:after="120"/>
    </w:pPr>
    <w:rPr>
      <w:rFonts w:eastAsia="Times New Roman"/>
    </w:rPr>
  </w:style>
  <w:style w:type="character" w:customStyle="1" w:styleId="BodyTextChar">
    <w:name w:val="Body Text Char"/>
    <w:basedOn w:val="DefaultParagraphFont"/>
    <w:link w:val="BodyText"/>
    <w:rsid w:val="00C40E92"/>
    <w:rPr>
      <w:rFonts w:eastAsia="Times New Roman"/>
      <w:sz w:val="24"/>
      <w:szCs w:val="24"/>
    </w:rPr>
  </w:style>
  <w:style w:type="character" w:styleId="EndnoteReference">
    <w:name w:val="endnote reference"/>
    <w:basedOn w:val="DefaultParagraphFont"/>
    <w:uiPriority w:val="99"/>
    <w:semiHidden/>
    <w:unhideWhenUsed/>
    <w:rsid w:val="00C40E92"/>
    <w:rPr>
      <w:vertAlign w:val="superscript"/>
    </w:rPr>
  </w:style>
  <w:style w:type="paragraph" w:styleId="BalloonText">
    <w:name w:val="Balloon Text"/>
    <w:basedOn w:val="Normal"/>
    <w:link w:val="BalloonTextChar"/>
    <w:uiPriority w:val="99"/>
    <w:semiHidden/>
    <w:unhideWhenUsed/>
    <w:rsid w:val="00951BB5"/>
    <w:rPr>
      <w:rFonts w:ascii="Tahoma" w:hAnsi="Tahoma" w:cs="Tahoma"/>
      <w:sz w:val="16"/>
      <w:szCs w:val="16"/>
    </w:rPr>
  </w:style>
  <w:style w:type="character" w:customStyle="1" w:styleId="BalloonTextChar">
    <w:name w:val="Balloon Text Char"/>
    <w:basedOn w:val="DefaultParagraphFont"/>
    <w:link w:val="BalloonText"/>
    <w:uiPriority w:val="99"/>
    <w:semiHidden/>
    <w:rsid w:val="00951BB5"/>
    <w:rPr>
      <w:rFonts w:ascii="Tahoma" w:eastAsia="SimSun" w:hAnsi="Tahoma" w:cs="Tahoma"/>
      <w:sz w:val="16"/>
      <w:szCs w:val="16"/>
    </w:rPr>
  </w:style>
  <w:style w:type="table" w:styleId="TableGrid">
    <w:name w:val="Table Grid"/>
    <w:basedOn w:val="TableNormal"/>
    <w:uiPriority w:val="59"/>
    <w:rsid w:val="00951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2DBF"/>
    <w:pPr>
      <w:tabs>
        <w:tab w:val="center" w:pos="4680"/>
        <w:tab w:val="right" w:pos="9360"/>
      </w:tabs>
    </w:pPr>
  </w:style>
  <w:style w:type="character" w:customStyle="1" w:styleId="HeaderChar">
    <w:name w:val="Header Char"/>
    <w:basedOn w:val="DefaultParagraphFont"/>
    <w:link w:val="Header"/>
    <w:uiPriority w:val="99"/>
    <w:rsid w:val="00B12DBF"/>
    <w:rPr>
      <w:rFonts w:eastAsia="SimSun"/>
      <w:sz w:val="24"/>
      <w:szCs w:val="24"/>
    </w:rPr>
  </w:style>
  <w:style w:type="paragraph" w:styleId="Footer">
    <w:name w:val="footer"/>
    <w:basedOn w:val="Normal"/>
    <w:link w:val="FooterChar"/>
    <w:uiPriority w:val="99"/>
    <w:unhideWhenUsed/>
    <w:rsid w:val="00B12DBF"/>
    <w:pPr>
      <w:tabs>
        <w:tab w:val="center" w:pos="4680"/>
        <w:tab w:val="right" w:pos="9360"/>
      </w:tabs>
    </w:pPr>
  </w:style>
  <w:style w:type="character" w:customStyle="1" w:styleId="FooterChar">
    <w:name w:val="Footer Char"/>
    <w:basedOn w:val="DefaultParagraphFont"/>
    <w:link w:val="Footer"/>
    <w:uiPriority w:val="99"/>
    <w:rsid w:val="00B12DBF"/>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9F8"/>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1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19F8"/>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CE19F8"/>
    <w:rPr>
      <w:b/>
      <w:bCs/>
    </w:rPr>
  </w:style>
  <w:style w:type="paragraph" w:styleId="ListParagraph">
    <w:name w:val="List Paragraph"/>
    <w:basedOn w:val="Normal"/>
    <w:uiPriority w:val="34"/>
    <w:qFormat/>
    <w:rsid w:val="00CE19F8"/>
    <w:pPr>
      <w:bidi w:val="0"/>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semiHidden/>
    <w:rsid w:val="00C40E92"/>
    <w:rPr>
      <w:rFonts w:eastAsia="Times New Roman" w:cs="Traditional Arabic"/>
      <w:noProof/>
      <w:sz w:val="20"/>
      <w:szCs w:val="20"/>
    </w:rPr>
  </w:style>
  <w:style w:type="character" w:customStyle="1" w:styleId="FootnoteTextChar">
    <w:name w:val="Footnote Text Char"/>
    <w:basedOn w:val="DefaultParagraphFont"/>
    <w:link w:val="FootnoteText"/>
    <w:semiHidden/>
    <w:rsid w:val="00C40E92"/>
    <w:rPr>
      <w:rFonts w:eastAsia="Times New Roman" w:cs="Traditional Arabic"/>
      <w:noProof/>
    </w:rPr>
  </w:style>
  <w:style w:type="paragraph" w:styleId="BodyText">
    <w:name w:val="Body Text"/>
    <w:basedOn w:val="Normal"/>
    <w:link w:val="BodyTextChar"/>
    <w:rsid w:val="00C40E92"/>
    <w:pPr>
      <w:spacing w:after="120"/>
    </w:pPr>
    <w:rPr>
      <w:rFonts w:eastAsia="Times New Roman"/>
    </w:rPr>
  </w:style>
  <w:style w:type="character" w:customStyle="1" w:styleId="BodyTextChar">
    <w:name w:val="Body Text Char"/>
    <w:basedOn w:val="DefaultParagraphFont"/>
    <w:link w:val="BodyText"/>
    <w:rsid w:val="00C40E92"/>
    <w:rPr>
      <w:rFonts w:eastAsia="Times New Roman"/>
      <w:sz w:val="24"/>
      <w:szCs w:val="24"/>
    </w:rPr>
  </w:style>
  <w:style w:type="character" w:styleId="EndnoteReference">
    <w:name w:val="endnote reference"/>
    <w:basedOn w:val="DefaultParagraphFont"/>
    <w:uiPriority w:val="99"/>
    <w:semiHidden/>
    <w:unhideWhenUsed/>
    <w:rsid w:val="00C40E92"/>
    <w:rPr>
      <w:vertAlign w:val="superscript"/>
    </w:rPr>
  </w:style>
  <w:style w:type="paragraph" w:styleId="BalloonText">
    <w:name w:val="Balloon Text"/>
    <w:basedOn w:val="Normal"/>
    <w:link w:val="BalloonTextChar"/>
    <w:uiPriority w:val="99"/>
    <w:semiHidden/>
    <w:unhideWhenUsed/>
    <w:rsid w:val="00951BB5"/>
    <w:rPr>
      <w:rFonts w:ascii="Tahoma" w:hAnsi="Tahoma" w:cs="Tahoma"/>
      <w:sz w:val="16"/>
      <w:szCs w:val="16"/>
    </w:rPr>
  </w:style>
  <w:style w:type="character" w:customStyle="1" w:styleId="BalloonTextChar">
    <w:name w:val="Balloon Text Char"/>
    <w:basedOn w:val="DefaultParagraphFont"/>
    <w:link w:val="BalloonText"/>
    <w:uiPriority w:val="99"/>
    <w:semiHidden/>
    <w:rsid w:val="00951BB5"/>
    <w:rPr>
      <w:rFonts w:ascii="Tahoma" w:eastAsia="SimSun" w:hAnsi="Tahoma" w:cs="Tahoma"/>
      <w:sz w:val="16"/>
      <w:szCs w:val="16"/>
    </w:rPr>
  </w:style>
  <w:style w:type="table" w:styleId="TableGrid">
    <w:name w:val="Table Grid"/>
    <w:basedOn w:val="TableNormal"/>
    <w:uiPriority w:val="59"/>
    <w:rsid w:val="00951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2DBF"/>
    <w:pPr>
      <w:tabs>
        <w:tab w:val="center" w:pos="4680"/>
        <w:tab w:val="right" w:pos="9360"/>
      </w:tabs>
    </w:pPr>
  </w:style>
  <w:style w:type="character" w:customStyle="1" w:styleId="HeaderChar">
    <w:name w:val="Header Char"/>
    <w:basedOn w:val="DefaultParagraphFont"/>
    <w:link w:val="Header"/>
    <w:uiPriority w:val="99"/>
    <w:rsid w:val="00B12DBF"/>
    <w:rPr>
      <w:rFonts w:eastAsia="SimSun"/>
      <w:sz w:val="24"/>
      <w:szCs w:val="24"/>
    </w:rPr>
  </w:style>
  <w:style w:type="paragraph" w:styleId="Footer">
    <w:name w:val="footer"/>
    <w:basedOn w:val="Normal"/>
    <w:link w:val="FooterChar"/>
    <w:uiPriority w:val="99"/>
    <w:unhideWhenUsed/>
    <w:rsid w:val="00B12DBF"/>
    <w:pPr>
      <w:tabs>
        <w:tab w:val="center" w:pos="4680"/>
        <w:tab w:val="right" w:pos="9360"/>
      </w:tabs>
    </w:pPr>
  </w:style>
  <w:style w:type="character" w:customStyle="1" w:styleId="FooterChar">
    <w:name w:val="Footer Char"/>
    <w:basedOn w:val="DefaultParagraphFont"/>
    <w:link w:val="Footer"/>
    <w:uiPriority w:val="99"/>
    <w:rsid w:val="00B12DBF"/>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admin</cp:lastModifiedBy>
  <cp:revision>6</cp:revision>
  <cp:lastPrinted>2015-03-04T09:01:00Z</cp:lastPrinted>
  <dcterms:created xsi:type="dcterms:W3CDTF">2015-03-04T08:28:00Z</dcterms:created>
  <dcterms:modified xsi:type="dcterms:W3CDTF">2015-03-04T09:15:00Z</dcterms:modified>
</cp:coreProperties>
</file>