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512E" w14:textId="00F13BE6"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التملك العقاري: بين حق الفرد والتغيير الديمغرافي</w:t>
      </w:r>
    </w:p>
    <w:p w14:paraId="2CDEF37E"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البروفسور طوني عطاالله</w:t>
      </w:r>
    </w:p>
    <w:p w14:paraId="002FFB0D" w14:textId="77777777" w:rsidR="009C2B5B" w:rsidRPr="002F678A" w:rsidRDefault="009C2B5B" w:rsidP="009C2B5B">
      <w:pPr>
        <w:bidi/>
        <w:rPr>
          <w:rFonts w:ascii="Simplified Arabic" w:hAnsi="Simplified Arabic" w:cs="Simplified Arabic"/>
          <w:sz w:val="28"/>
          <w:szCs w:val="28"/>
        </w:rPr>
      </w:pPr>
    </w:p>
    <w:p w14:paraId="4BBEBFC5" w14:textId="3B0DB0F3" w:rsidR="009C2B5B" w:rsidRPr="002F678A" w:rsidRDefault="00947B67"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جريدة الجمهورية</w:t>
      </w:r>
    </w:p>
    <w:p w14:paraId="6FCFBC2F"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Thursday, 15-Oct-2026 07:17</w:t>
      </w:r>
    </w:p>
    <w:p w14:paraId="57668AD9"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ضجّت وسائل التواصل الاجتماعي بخبر شراء رجل لبناني من الجنوب 84 عقاراً في منطقة لا يُقيم فيها، ما فتح الباب أمام نقاش تجاوز حدود الصفقة العقارية إلى أسئلة تتصل بالتوازن الاجتماعي، والشفافية المالية، وحقوق الملكية، ومستقبل العيش المشترك. التملّك العقاري في لبنان ليس مجرّد مسألة اقتصادية تتعلّق ببيع أراضٍ وشقق ومنازل، بل أصبح قضية تتصل بالاستقرار الاجتماعي والسلم الأهلي ووحدة الدولة. الأرض، في بلد لا تتجاوز مساحته 10452 كيلومتراً مربّعاً، وتتميَّز بُنيته بتعدُّد اجتماعي وطائفي، ليست مجرّد سلعة تخضع لقانون العرض والطلب، وإنما عنصر أساسي في تكوين المجتمعات المحلية واستمرارها</w:t>
      </w:r>
      <w:r w:rsidRPr="002F678A">
        <w:rPr>
          <w:rFonts w:ascii="Simplified Arabic" w:hAnsi="Simplified Arabic" w:cs="Simplified Arabic"/>
          <w:sz w:val="28"/>
          <w:szCs w:val="28"/>
        </w:rPr>
        <w:t>.</w:t>
      </w:r>
    </w:p>
    <w:p w14:paraId="02869ACE"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اليوم تزداد حساسية المسألة عندما تتراكم عمليات شراء العقارات في مناطق محدّدة، ولا سيما إذا نفّذها فرد أو مجموعة مترابطة، وشملت مساحات واسعة أو عقارات متجاورة، بما قد يؤدّي تدريجياً إلى تغيير البنية السكانية أو إنشاء تجمّعات مغلقة وأحزمة عمرانية تفصل المناطق عن محيطها. فهل تستطيع السلطة أن تبقى متفرّجة عندما تتحوَّل عمليات بيع مشروعة، كلٌّ على حدة، إلى ظاهرة قد تهدِّد التوازن المجتمعي؟</w:t>
      </w:r>
    </w:p>
    <w:p w14:paraId="1E0DF6CB"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أدركت الميليشيات خلال سنوات الحروب في لبنان أهمية مسألة التملّك، فأنشأت مكاتب لمراقبة حركة الدوائر العقارية، تتولّى مهمّة التأكّد من سلامة عملية البيع ومنع إجراء عمليات تهدف إلى تحقيق فرز طائفي أو تبادلي</w:t>
      </w:r>
      <w:r w:rsidRPr="002F678A">
        <w:rPr>
          <w:rFonts w:ascii="Simplified Arabic" w:hAnsi="Simplified Arabic" w:cs="Simplified Arabic"/>
          <w:sz w:val="28"/>
          <w:szCs w:val="28"/>
        </w:rPr>
        <w:t>.</w:t>
      </w:r>
    </w:p>
    <w:p w14:paraId="541E4C29"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 xml:space="preserve"> </w:t>
      </w:r>
    </w:p>
    <w:p w14:paraId="295C9C4F" w14:textId="77777777" w:rsidR="009C2B5B" w:rsidRPr="002F678A" w:rsidRDefault="009C2B5B" w:rsidP="009C2B5B">
      <w:pPr>
        <w:bidi/>
        <w:rPr>
          <w:rFonts w:ascii="Simplified Arabic" w:hAnsi="Simplified Arabic" w:cs="Simplified Arabic"/>
          <w:sz w:val="28"/>
          <w:szCs w:val="28"/>
        </w:rPr>
      </w:pPr>
    </w:p>
    <w:p w14:paraId="60E54D40"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جبل لبنان نموذجاً لمشكلة وطنية</w:t>
      </w:r>
    </w:p>
    <w:p w14:paraId="1C15B588"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lastRenderedPageBreak/>
        <w:t>اليوم تثير عمليات التملك العقاري الواسعة مخاوف متزايدة في بعض مناطق جبل لبنان، ولا سيما المتن وكسروان وبعبدا وعاليه وبحمدون، فضلاً عن مناطق أخرى في الشمال والبقاع وجزين. وتتناقل الأوساط المحلية معلومات عن شراء عقارات وشقق وشاليهات بالجملة، أحياناً بواسطة شركات أو وسطاء، بما يطرح تساؤلات حول المالك الفعلي ومصادر التمويل والغاية من تجميع الملكيات في نطاق جغرافي واحد. ولا يجوز اعتبار هذه المعلومات حقائق ثابتة من دون تحقيق رسمي، كما لا يصح الحكم على مشروعية التملك انطلاقاً من هوية المشتري الطائفية. لكنّ تجاهل الظاهرة، في حال ثبوتها، يترك المجال للشائعات والتوظيف السياسي والطائفي</w:t>
      </w:r>
      <w:r w:rsidRPr="002F678A">
        <w:rPr>
          <w:rFonts w:ascii="Simplified Arabic" w:hAnsi="Simplified Arabic" w:cs="Simplified Arabic"/>
          <w:sz w:val="28"/>
          <w:szCs w:val="28"/>
        </w:rPr>
        <w:t>.</w:t>
      </w:r>
    </w:p>
    <w:p w14:paraId="01E4C217"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إنّ شراء منزل للسكن يختلف عن الاستحواذ على عشرات العقارات المتلاصقة. والخطورة لا تكمن في الانتماء الديني للمشتري، بل في حجم التملك وتركيزه وآثاره المحتملة على البيئة الاجتماعية والعمرانية</w:t>
      </w:r>
      <w:r w:rsidRPr="002F678A">
        <w:rPr>
          <w:rFonts w:ascii="Simplified Arabic" w:hAnsi="Simplified Arabic" w:cs="Simplified Arabic"/>
          <w:sz w:val="28"/>
          <w:szCs w:val="28"/>
        </w:rPr>
        <w:t>.</w:t>
      </w:r>
    </w:p>
    <w:p w14:paraId="3FF6A7D9" w14:textId="77777777" w:rsidR="009C2B5B" w:rsidRPr="002F678A" w:rsidRDefault="009C2B5B" w:rsidP="009C2B5B">
      <w:pPr>
        <w:bidi/>
        <w:rPr>
          <w:rFonts w:ascii="Simplified Arabic" w:hAnsi="Simplified Arabic" w:cs="Simplified Arabic"/>
          <w:sz w:val="28"/>
          <w:szCs w:val="28"/>
        </w:rPr>
      </w:pPr>
    </w:p>
    <w:p w14:paraId="5FC3C0D4"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عندما تتجاوز الملكية الفردية آثارها الخاصة</w:t>
      </w:r>
    </w:p>
    <w:p w14:paraId="0F5CE854"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يحمي الدستور اللبناني الملكية الخاصة، ويضمن حق المالك في التصرُّف بأمواله ضمن حدود القانون. ولا يجوز حرمان المواطن من بيع عقاره، خصوصاً عندما تدفعه الظروف الاقتصادية إلى ذلك. لكنّ مشروعية كل عملية بيع منفردة لا تعني بالضرورة انتفاء المخاطر الناجمة عن تراكم عمليات الشراء. قد تتحوَّل الملكيات المتجاورة، إذا تركّزت في يد جهة واحدة أو جهات مترابطة، إلى وسيلة للسيطرة المكانية، أو لإعادة تشكيل البنية العمرانية والسكانية في منطقة معينة. وهنا يظهر دور السلطة في التوفيق بين حق الفرد والمصلحة العامة، لا بمصادرة الملكيات أو منع البيع اعتباطياً، بل بوضع ضوابط قانونية عامة تمنع الاحتكار والتحايل والاستحواذ المنظم</w:t>
      </w:r>
      <w:r w:rsidRPr="002F678A">
        <w:rPr>
          <w:rFonts w:ascii="Simplified Arabic" w:hAnsi="Simplified Arabic" w:cs="Simplified Arabic"/>
          <w:sz w:val="28"/>
          <w:szCs w:val="28"/>
        </w:rPr>
        <w:t>.</w:t>
      </w:r>
    </w:p>
    <w:p w14:paraId="0263BE61"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الدستور لا يحمي الملكية وحدها</w:t>
      </w:r>
    </w:p>
    <w:p w14:paraId="4254F1A2"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تنص الفقرة (ط) من مقدّمة الدستور، على أنّ أرض لبنان أرض واحدة لجميع اللبنانيّين، وأنّ لكل لبناني الحق في الإقامة على أي جزء منها والتمتع به في ظل سيادة القانون، مع رفض التجزئة والتقسيم والتوطين</w:t>
      </w:r>
      <w:r w:rsidRPr="002F678A">
        <w:rPr>
          <w:rFonts w:ascii="Simplified Arabic" w:hAnsi="Simplified Arabic" w:cs="Simplified Arabic"/>
          <w:sz w:val="28"/>
          <w:szCs w:val="28"/>
        </w:rPr>
        <w:t>.</w:t>
      </w:r>
    </w:p>
    <w:p w14:paraId="4FC6A419" w14:textId="77777777" w:rsidR="009C2B5B" w:rsidRPr="002F678A" w:rsidRDefault="009C2B5B" w:rsidP="009C2B5B">
      <w:pPr>
        <w:bidi/>
        <w:rPr>
          <w:rFonts w:ascii="Simplified Arabic" w:hAnsi="Simplified Arabic" w:cs="Simplified Arabic"/>
          <w:sz w:val="28"/>
          <w:szCs w:val="28"/>
        </w:rPr>
      </w:pPr>
    </w:p>
    <w:p w14:paraId="6B7BCE1A"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lastRenderedPageBreak/>
        <w:t>ويكرّس هذا النص مبدأَين متكاملَين: وحدة الأرض اللبنانية وحرّية اللبنانيّين في الإقامة والتمتع بها، من دون تقسيم أو تمييز. ولا يمكن الاستناد إليه لمنع اللبناني من التملّك في منطقة تختلف عن انتمائه الطائفي، لأنّ ذلك يناقض جوهر المواطنة ووحدة الدولة</w:t>
      </w:r>
      <w:r w:rsidRPr="002F678A">
        <w:rPr>
          <w:rFonts w:ascii="Simplified Arabic" w:hAnsi="Simplified Arabic" w:cs="Simplified Arabic"/>
          <w:sz w:val="28"/>
          <w:szCs w:val="28"/>
        </w:rPr>
        <w:t>.</w:t>
      </w:r>
    </w:p>
    <w:p w14:paraId="4CC5FFCF"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لكن هذا المبدأ لا يحول دون تدخّل المشرّع، وفق ضوابط دستورية واضحة، لحماية المصلحة العامة من الممارسات العقارية التي تنطوي على احتيال أو احتكار أو استغلال منظم. أمّا تملّك غير اللبنانيّين، فقد أخضعه المشرّع لنظام خاص بموجب القانون المنفّذ بالمرسوم رقم 11614 لعام 1969 وتعديلاته، ولا سيما القانون رقم 296 لعام 2001، الذي وضع شروطاً وسقوفاً للمساحات المسموح بتملكها</w:t>
      </w:r>
      <w:r w:rsidRPr="002F678A">
        <w:rPr>
          <w:rFonts w:ascii="Simplified Arabic" w:hAnsi="Simplified Arabic" w:cs="Simplified Arabic"/>
          <w:sz w:val="28"/>
          <w:szCs w:val="28"/>
        </w:rPr>
        <w:t>.</w:t>
      </w:r>
    </w:p>
    <w:p w14:paraId="62F38290" w14:textId="77777777" w:rsidR="009C2B5B" w:rsidRPr="002F678A" w:rsidRDefault="009C2B5B" w:rsidP="009C2B5B">
      <w:pPr>
        <w:bidi/>
        <w:rPr>
          <w:rFonts w:ascii="Simplified Arabic" w:hAnsi="Simplified Arabic" w:cs="Simplified Arabic"/>
          <w:sz w:val="28"/>
          <w:szCs w:val="28"/>
        </w:rPr>
      </w:pPr>
    </w:p>
    <w:p w14:paraId="32E4AA67"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ويؤكّد ذلك أنّ حق الملكية، على أهمّيته، ليس بمنأى عن التنظيم القانوني عندما تقتضيه المصلحة العامة</w:t>
      </w:r>
      <w:r w:rsidRPr="002F678A">
        <w:rPr>
          <w:rFonts w:ascii="Simplified Arabic" w:hAnsi="Simplified Arabic" w:cs="Simplified Arabic"/>
          <w:sz w:val="28"/>
          <w:szCs w:val="28"/>
        </w:rPr>
        <w:t>.</w:t>
      </w:r>
    </w:p>
    <w:p w14:paraId="33E2849C"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ماذا نتعلّم من التجارب المقارنة؟</w:t>
      </w:r>
    </w:p>
    <w:p w14:paraId="4978A8B0"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في العالم 30 دولة أصغر مساحة من لبنان (موناكو، ليشنشتاين، أندورا، لوكسمبورغ...)، ويمكن لأي متموّل أن يشتري مساحات واسعة ويُقيم مراكز استيطان (التجربة المأساوية في فلسطين). لذا اعتمدت هذه الدول ضوابط للتملك من دون أن تمسّ بحقوق الملكية الفردية. المسألة في الدول المتنوّعة ليست موجّهة ضدّ حق الملكية، بل مرتبطة بالتضامن الاجتماعي والحفاظ على تماسك النسيج الوطني. عرضت الأمر على بعض الجامعيّين القانونيّين وليس الحقوقيّين، فوجدتهم في غربة عن الموضوع، بل هو مجهول بالكامل، فيما الحاجة إلى التوسع في الاجتهادات والدراسات. تُظهر التجارب الدستورية المقارنة، أنّ الدول تستطيع اعتماد ضوابط عقارية تراعي خصوصية مناطقها، ولا سيما الجزر الصغيرة والمناطق ذات المساحات المحدودة، شرط احترام الشرعية والمساواة والتناسب بين القيود والغاية المنشودة</w:t>
      </w:r>
      <w:r w:rsidRPr="002F678A">
        <w:rPr>
          <w:rFonts w:ascii="Simplified Arabic" w:hAnsi="Simplified Arabic" w:cs="Simplified Arabic"/>
          <w:sz w:val="28"/>
          <w:szCs w:val="28"/>
        </w:rPr>
        <w:t>.</w:t>
      </w:r>
    </w:p>
    <w:p w14:paraId="672B5AE2"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إنّ حماية السكان من الإقصاء الاقتصادي والعمراني، والحفاظ على إمكانية حصولهم على السكن، يمكن أن يشكّلا مصلحة عامة تبرر تدابير تنظيمية محددة</w:t>
      </w:r>
      <w:r w:rsidRPr="002F678A">
        <w:rPr>
          <w:rFonts w:ascii="Simplified Arabic" w:hAnsi="Simplified Arabic" w:cs="Simplified Arabic"/>
          <w:sz w:val="28"/>
          <w:szCs w:val="28"/>
        </w:rPr>
        <w:t>.</w:t>
      </w:r>
    </w:p>
    <w:p w14:paraId="636B46D6"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والعبرة بالنسبة إلى لبنان ليست في استنساخ التشريعات الأجنبية، بل في الاستفادة من المبدأ الذي تقوم عليه: حرّية التملك لا تلغي مسؤولية السلطة عن النتائج الاجتماعية والعمرانية لتراكم الملكيات</w:t>
      </w:r>
      <w:r w:rsidRPr="002F678A">
        <w:rPr>
          <w:rFonts w:ascii="Simplified Arabic" w:hAnsi="Simplified Arabic" w:cs="Simplified Arabic"/>
          <w:sz w:val="28"/>
          <w:szCs w:val="28"/>
        </w:rPr>
        <w:t>.</w:t>
      </w:r>
    </w:p>
    <w:p w14:paraId="59B02530"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من القلق إلى الحلول</w:t>
      </w:r>
    </w:p>
    <w:p w14:paraId="7D7437E4"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lastRenderedPageBreak/>
        <w:t>لا يكفي التحذير من التغيير الديموغرافي، بل ينبغي الانتقال إلى سياسة عقارية وطنية تقوم على إجراءات واضحة</w:t>
      </w:r>
      <w:r w:rsidRPr="002F678A">
        <w:rPr>
          <w:rFonts w:ascii="Simplified Arabic" w:hAnsi="Simplified Arabic" w:cs="Simplified Arabic"/>
          <w:sz w:val="28"/>
          <w:szCs w:val="28"/>
        </w:rPr>
        <w:t>:</w:t>
      </w:r>
    </w:p>
    <w:p w14:paraId="4D90C793"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 xml:space="preserve">1. </w:t>
      </w:r>
      <w:r w:rsidRPr="002F678A">
        <w:rPr>
          <w:rFonts w:ascii="Simplified Arabic" w:hAnsi="Simplified Arabic" w:cs="Simplified Arabic"/>
          <w:sz w:val="28"/>
          <w:szCs w:val="28"/>
          <w:rtl/>
        </w:rPr>
        <w:t>إنشاء قاعدة بيانات موحّدة لرصد الملكيات العقارية وتوزُّعها الجغرافي، مع حماية البيانات الشخصية</w:t>
      </w:r>
      <w:r w:rsidRPr="002F678A">
        <w:rPr>
          <w:rFonts w:ascii="Simplified Arabic" w:hAnsi="Simplified Arabic" w:cs="Simplified Arabic"/>
          <w:sz w:val="28"/>
          <w:szCs w:val="28"/>
        </w:rPr>
        <w:t>.</w:t>
      </w:r>
    </w:p>
    <w:p w14:paraId="650A2BDA"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 xml:space="preserve">2. </w:t>
      </w:r>
      <w:r w:rsidRPr="002F678A">
        <w:rPr>
          <w:rFonts w:ascii="Simplified Arabic" w:hAnsi="Simplified Arabic" w:cs="Simplified Arabic"/>
          <w:sz w:val="28"/>
          <w:szCs w:val="28"/>
          <w:rtl/>
        </w:rPr>
        <w:t>إلزام الشركات بالإفصاح عن المالك الفعلي، وكشف عمليات الشراء المترابطة التي تتمّ بواسطة أسماء متعدِّدة</w:t>
      </w:r>
      <w:r w:rsidRPr="002F678A">
        <w:rPr>
          <w:rFonts w:ascii="Simplified Arabic" w:hAnsi="Simplified Arabic" w:cs="Simplified Arabic"/>
          <w:sz w:val="28"/>
          <w:szCs w:val="28"/>
        </w:rPr>
        <w:t>.</w:t>
      </w:r>
    </w:p>
    <w:p w14:paraId="29E1E9FE"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 xml:space="preserve">3. </w:t>
      </w:r>
      <w:r w:rsidRPr="002F678A">
        <w:rPr>
          <w:rFonts w:ascii="Simplified Arabic" w:hAnsi="Simplified Arabic" w:cs="Simplified Arabic"/>
          <w:sz w:val="28"/>
          <w:szCs w:val="28"/>
          <w:rtl/>
        </w:rPr>
        <w:t>تعزيز الرقابة على مصادر الأموال، والتحقيق في الصفقات المشبوهة وفقاً للقانون</w:t>
      </w:r>
      <w:r w:rsidRPr="002F678A">
        <w:rPr>
          <w:rFonts w:ascii="Simplified Arabic" w:hAnsi="Simplified Arabic" w:cs="Simplified Arabic"/>
          <w:sz w:val="28"/>
          <w:szCs w:val="28"/>
        </w:rPr>
        <w:t>.</w:t>
      </w:r>
    </w:p>
    <w:p w14:paraId="0B4FB8A1"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 xml:space="preserve">4. </w:t>
      </w:r>
      <w:r w:rsidRPr="002F678A">
        <w:rPr>
          <w:rFonts w:ascii="Simplified Arabic" w:hAnsi="Simplified Arabic" w:cs="Simplified Arabic"/>
          <w:sz w:val="28"/>
          <w:szCs w:val="28"/>
          <w:rtl/>
        </w:rPr>
        <w:t>إخضاع المشاريع العقارية الكبرى لدراسات أثر عمراني واجتماعي، وفق معايير موضوعية غير طائفية</w:t>
      </w:r>
      <w:r w:rsidRPr="002F678A">
        <w:rPr>
          <w:rFonts w:ascii="Simplified Arabic" w:hAnsi="Simplified Arabic" w:cs="Simplified Arabic"/>
          <w:sz w:val="28"/>
          <w:szCs w:val="28"/>
        </w:rPr>
        <w:t>.</w:t>
      </w:r>
    </w:p>
    <w:p w14:paraId="71F5442D"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 xml:space="preserve">5. </w:t>
      </w:r>
      <w:r w:rsidRPr="002F678A">
        <w:rPr>
          <w:rFonts w:ascii="Simplified Arabic" w:hAnsi="Simplified Arabic" w:cs="Simplified Arabic"/>
          <w:sz w:val="28"/>
          <w:szCs w:val="28"/>
          <w:rtl/>
        </w:rPr>
        <w:t>وضع آليات قانونية لمراقبة التملّك المكثف والمتجاور، ومنع التحايل على القيود المعمول بها</w:t>
      </w:r>
      <w:r w:rsidRPr="002F678A">
        <w:rPr>
          <w:rFonts w:ascii="Simplified Arabic" w:hAnsi="Simplified Arabic" w:cs="Simplified Arabic"/>
          <w:sz w:val="28"/>
          <w:szCs w:val="28"/>
        </w:rPr>
        <w:t>.</w:t>
      </w:r>
    </w:p>
    <w:p w14:paraId="28D256C3"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 xml:space="preserve">6. </w:t>
      </w:r>
      <w:r w:rsidRPr="002F678A">
        <w:rPr>
          <w:rFonts w:ascii="Simplified Arabic" w:hAnsi="Simplified Arabic" w:cs="Simplified Arabic"/>
          <w:sz w:val="28"/>
          <w:szCs w:val="28"/>
          <w:rtl/>
        </w:rPr>
        <w:t>مساعدة المالكين الذين تدفعهم الحاجة الاقتصادية إلى بيع ممتلكاتهم بشروط مجحفة، من خلال أدوات تمويلية واجتماعية مناسبة</w:t>
      </w:r>
      <w:r w:rsidRPr="002F678A">
        <w:rPr>
          <w:rFonts w:ascii="Simplified Arabic" w:hAnsi="Simplified Arabic" w:cs="Simplified Arabic"/>
          <w:sz w:val="28"/>
          <w:szCs w:val="28"/>
        </w:rPr>
        <w:t>.</w:t>
      </w:r>
    </w:p>
    <w:p w14:paraId="38D313FA"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وتتطلّب هذه السياسة تعاون الإدارات العقارية والبلديات والسلطات القضائية والرقابية، ضمن تشريع دقيق يحدّد الصلاحيات والضمانات ويُخضع القرارات للمراجعة القضائية</w:t>
      </w:r>
      <w:r w:rsidRPr="002F678A">
        <w:rPr>
          <w:rFonts w:ascii="Simplified Arabic" w:hAnsi="Simplified Arabic" w:cs="Simplified Arabic"/>
          <w:sz w:val="28"/>
          <w:szCs w:val="28"/>
        </w:rPr>
        <w:t>.</w:t>
      </w:r>
    </w:p>
    <w:p w14:paraId="14B240BB" w14:textId="77777777" w:rsidR="009C2B5B" w:rsidRPr="002F678A" w:rsidRDefault="009C2B5B" w:rsidP="009C2B5B">
      <w:pPr>
        <w:bidi/>
        <w:rPr>
          <w:rFonts w:ascii="Simplified Arabic" w:hAnsi="Simplified Arabic" w:cs="Simplified Arabic"/>
          <w:sz w:val="28"/>
          <w:szCs w:val="28"/>
        </w:rPr>
      </w:pPr>
    </w:p>
    <w:p w14:paraId="5481426F"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الأرض مسؤولية وطنية</w:t>
      </w:r>
    </w:p>
    <w:p w14:paraId="5D6D3824" w14:textId="77777777" w:rsidR="009C2B5B" w:rsidRPr="002F678A" w:rsidRDefault="009C2B5B" w:rsidP="009C2B5B">
      <w:pPr>
        <w:bidi/>
        <w:rPr>
          <w:rFonts w:ascii="Simplified Arabic" w:hAnsi="Simplified Arabic" w:cs="Simplified Arabic"/>
          <w:sz w:val="28"/>
          <w:szCs w:val="28"/>
          <w:rtl/>
        </w:rPr>
      </w:pPr>
      <w:r w:rsidRPr="002F678A">
        <w:rPr>
          <w:rFonts w:ascii="Simplified Arabic" w:hAnsi="Simplified Arabic" w:cs="Simplified Arabic"/>
          <w:sz w:val="28"/>
          <w:szCs w:val="28"/>
          <w:rtl/>
        </w:rPr>
        <w:t>إنّ حماية التوازن الاجتماعي في لبنان لا تتحقق بمنع اللبنانيّين من التملّك خارج مناطقهم، ولا بتحويل الاختلاف الطائفي إلى حاجز عقاري جديد. كما أنّها لا تتحقق بترك السوق وحده يرسم مستقبل المناطق وتكوينها السكاني</w:t>
      </w:r>
      <w:r w:rsidRPr="002F678A">
        <w:rPr>
          <w:rFonts w:ascii="Simplified Arabic" w:hAnsi="Simplified Arabic" w:cs="Simplified Arabic"/>
          <w:sz w:val="28"/>
          <w:szCs w:val="28"/>
        </w:rPr>
        <w:t>.</w:t>
      </w:r>
    </w:p>
    <w:p w14:paraId="408801F2" w14:textId="77777777" w:rsidR="00947B67" w:rsidRPr="002F678A" w:rsidRDefault="00947B67" w:rsidP="00947B67">
      <w:pPr>
        <w:bidi/>
        <w:rPr>
          <w:rFonts w:ascii="Simplified Arabic" w:hAnsi="Simplified Arabic" w:cs="Simplified Arabic"/>
          <w:sz w:val="28"/>
          <w:szCs w:val="28"/>
          <w:rtl/>
        </w:rPr>
      </w:pPr>
    </w:p>
    <w:p w14:paraId="0B6DEE21"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Pr>
      </w:pPr>
      <w:r w:rsidRPr="002F678A">
        <w:rPr>
          <w:rFonts w:ascii="Simplified Arabic" w:hAnsi="Simplified Arabic" w:cs="Simplified Arabic"/>
          <w:color w:val="1B1B1B"/>
          <w:sz w:val="28"/>
          <w:szCs w:val="28"/>
          <w:rtl/>
        </w:rPr>
        <w:t xml:space="preserve">هل يمكن أن تتحوَّل الأرض من مساحة للعيش المشترك إلى وسيلة لإعادة رسم موازين نفوذ سياسي وأمني وديموغرافي؟ وهل يكفي أن تكون عمليات البيع والشراء قانونية في ظاهرها حتى نطمئن إلى نتائجها؟ ليست هذه التساؤلات افتراضية في بلد اختبر، خلال حروب 1975–1990، محاولات الفرز السكاني والتقسيم الجغرافي، قبل أن يكتشف اللبنانيون أنّ المتاريس والمعابر والتهجير لم تنجح في إقامة كيانات منفصلة قابلة للحياة. لكنّ انتهاء الحرب لم يُنهِ بالضرورة مخاطر الفرز. تتخذ هذه المرة أشكالاً </w:t>
      </w:r>
      <w:r w:rsidRPr="002F678A">
        <w:rPr>
          <w:rFonts w:ascii="Simplified Arabic" w:hAnsi="Simplified Arabic" w:cs="Simplified Arabic"/>
          <w:color w:val="1B1B1B"/>
          <w:sz w:val="28"/>
          <w:szCs w:val="28"/>
          <w:rtl/>
        </w:rPr>
        <w:lastRenderedPageBreak/>
        <w:t>اقتصادية وعقارية، بمعزلٍ عن السلاح، عندما تتحوَّل المُلكِيات المتراكمة إلى أدوات نفوذ تتجاوز الغاية الطبيعية من السكن والاستثمار.</w:t>
      </w:r>
    </w:p>
    <w:p w14:paraId="135511A7"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Style w:val="Strong"/>
          <w:rFonts w:ascii="Simplified Arabic" w:hAnsi="Simplified Arabic" w:cs="Simplified Arabic"/>
          <w:color w:val="1B1B1B"/>
          <w:sz w:val="28"/>
          <w:szCs w:val="28"/>
          <w:rtl/>
        </w:rPr>
        <w:t>بين حرّية الإقامة وموجبات العيش المشترك،</w:t>
      </w:r>
    </w:p>
    <w:p w14:paraId="4192E6D8"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أراد المشترع الدستوري، بعد تجربة الحرب، تأكيد وحدة الأرض وحرّية اللبنانيّين في الإقامة والتنقل، فكرّست الفقرة (ط) من مقدمة الدستور رفض الفرز السكاني والتجزئة والتقسيم والتوطين. لكنّ الفقرة (ي) من المقدّمة نفسها أضافت مبدأ لا يقلّ أهمية: «لا شرعية لأي سلطة تناقض ميثاق العيش المشترك». والجمع بين المبدأين يفرض التمييز بين انتقال المواطنين بحرّية، وهو حق دستوري، وبين استغلال التملّك والإقامة من قوى منظّمة، لتحقيق أهداف سلطوية أو إحداث تحوُّلات سكانية قسرية.</w:t>
      </w:r>
    </w:p>
    <w:p w14:paraId="3BAEC8A2"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3B53B25D"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شهد لبنان محاولات لمعالجة هذه الإشكالية تشريعياً، منها اقتراح تقدَّم به الوزير السابق بطرس حرب لضبط بعض عمليات البيع والشراء بين اللبنانيّين، عندما تتجاوز أهدافها الحقوق العقارية الطبيعية. ويبدو أنّ الاقتراح لم يُقرَأ ولم يُفهَم! المسألة هنا ليست حماية منطقة من مواطنين ينتمون إلى طائفة أخرى، بل منع تحويل الانتماء الطائفي إلى أداة للاستحواذ السياسي على الأرض.</w:t>
      </w:r>
    </w:p>
    <w:p w14:paraId="14EE6684"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18DF896E"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Style w:val="Strong"/>
          <w:rFonts w:ascii="Simplified Arabic" w:hAnsi="Simplified Arabic" w:cs="Simplified Arabic"/>
          <w:color w:val="1B1B1B"/>
          <w:sz w:val="28"/>
          <w:szCs w:val="28"/>
          <w:rtl/>
        </w:rPr>
        <w:t>وقائع لبنانية تستدعي التحقق</w:t>
      </w:r>
    </w:p>
    <w:p w14:paraId="52A812A2"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لم تبدأ المخاوف العقارية اليوم. ففي 25 حزيران 2019، نقل غسان حجار في صحيفة «النهار»، تحذيرات رئيس بلدية الحدت من عمليات تملُّك، اعتبر أنّ وراء بعضها أهدافاً سياسية. واتخذت البلدية تدابير داخلية تداركاً لتفاقم الظاهرة.</w:t>
      </w:r>
    </w:p>
    <w:p w14:paraId="14DFAA3E"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6392DABF"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وفي 13 كانون الثاني 2022، تناولت «النهار» رصد «حركة الأرض» لعمليات تملّك متراكمة، ولا سيما على امتداد طريق الشام. ثم برزت قضية عقار ساسين في الأشرفية، التي تناولها مجد بو مجاهد في «النهار» بتاريخ 24 كانون الأول 2022، على خلفية اجتماع شارك فيه ستة من نواب دائرة بيروت الأولى من أصل ثمانية نواب، وسط مخاوف من انعكاسات ديموغرافية محتملة.</w:t>
      </w:r>
    </w:p>
    <w:p w14:paraId="13DEC381"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63FEF7D7"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وفي بداية التسعينيات، حاول أحد المتموَّلين غير الزحليّين، عقد صفقة لاستثمار فندق عريق في وسط مدينة زحلة، ممّا أثار امتعاضاً عارماً، فاضطر متموَِّل من المدينة إرجاع المبلغ المدفوع إلى الأول للحفاظ على معلم زحلي.</w:t>
      </w:r>
    </w:p>
    <w:p w14:paraId="4776D3FD"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34AF656E"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هذه الوقائع لا تثبت بذاتها وجود مشروع منظم للتغيير السكاني، لكنها تكشف استمرار القلق وضرورة إخضاعه للتحقيق والبيانات، بدلاً من تركه مادة للتجاذب الطائفي.</w:t>
      </w:r>
    </w:p>
    <w:p w14:paraId="47D3029B"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lastRenderedPageBreak/>
        <w:t xml:space="preserve">وليست التحذيرات جديدة. تناول شكري برتو خوري، منذ عام 1964، أهمية عدم التفريط بالأرض اللبنانية في كتابه </w:t>
      </w:r>
      <w:r w:rsidRPr="002F678A">
        <w:rPr>
          <w:rFonts w:ascii="Simplified Arabic" w:hAnsi="Simplified Arabic" w:cs="Simplified Arabic"/>
          <w:color w:val="1B1B1B"/>
          <w:sz w:val="28"/>
          <w:szCs w:val="28"/>
        </w:rPr>
        <w:t>Ne gaspillez pas la terre du Liban</w:t>
      </w:r>
      <w:r w:rsidRPr="002F678A">
        <w:rPr>
          <w:rFonts w:ascii="Simplified Arabic" w:hAnsi="Simplified Arabic" w:cs="Simplified Arabic"/>
          <w:color w:val="1B1B1B"/>
          <w:sz w:val="28"/>
          <w:szCs w:val="28"/>
          <w:rtl/>
        </w:rPr>
        <w:t>. (أنطوان مسرّه، حوكمة النظام الدستوري اللبناني، 2025، فصل «ضوابط التملك العقاري في مجتمع تعددي وفي لبنان»).</w:t>
      </w:r>
    </w:p>
    <w:p w14:paraId="0517BF64"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7B1612F3"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Style w:val="Strong"/>
          <w:rFonts w:ascii="Simplified Arabic" w:hAnsi="Simplified Arabic" w:cs="Simplified Arabic"/>
          <w:color w:val="1B1B1B"/>
          <w:sz w:val="28"/>
          <w:szCs w:val="28"/>
          <w:rtl/>
        </w:rPr>
        <w:t>ماذا في تجارب العدالة الأوروبية؟</w:t>
      </w:r>
    </w:p>
    <w:p w14:paraId="18E1FA40"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تقدِّم التجربة الأوروبية نموذجاً جديراً بالدراسة والتوسع في الدراسات المقارنة والاجتهاد.</w:t>
      </w:r>
    </w:p>
    <w:p w14:paraId="304A3A66"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xml:space="preserve">في قضية </w:t>
      </w:r>
      <w:r w:rsidRPr="002F678A">
        <w:rPr>
          <w:rFonts w:ascii="Simplified Arabic" w:hAnsi="Simplified Arabic" w:cs="Simplified Arabic"/>
          <w:color w:val="1B1B1B"/>
          <w:sz w:val="28"/>
          <w:szCs w:val="28"/>
        </w:rPr>
        <w:t>Guillow</w:t>
      </w:r>
      <w:r w:rsidRPr="002F678A">
        <w:rPr>
          <w:rFonts w:ascii="Simplified Arabic" w:hAnsi="Simplified Arabic" w:cs="Simplified Arabic"/>
          <w:color w:val="1B1B1B"/>
          <w:sz w:val="28"/>
          <w:szCs w:val="28"/>
          <w:rtl/>
        </w:rPr>
        <w:t xml:space="preserve"> ضدّ المملكة المتحدة، الصادرة عن المحكمة الأوروبية لحقوق الإنسان في 24 تشرين الثاني 1986، برقم 9063/80، نوقشت القيود السكنية المفروضة في جزيرة غيرنزي، في ضوء الحاجة إلى حماية سوق السكن المحلي ومصالح السكان.</w:t>
      </w:r>
    </w:p>
    <w:p w14:paraId="2AAF2A08"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1CEC399E"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اعترفت المحكمة بمشروعية الغاية العامة من التنظيم، لكنّها أخضعت تطبيق القيود لمبدأ التناسب، وانتهت إلى اعتبار التدخّل في الحالة المعروضة غير مبرّر. تبرز أهمية هذا الاجتهاد في أنّه يميِّز بين مشروعية الهدف ومشروعية الوسيلة المستخدمة لتحقيقه.</w:t>
      </w:r>
    </w:p>
    <w:p w14:paraId="2D6B2B88"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0371BEAD"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xml:space="preserve">كما يورد الباحث </w:t>
      </w:r>
      <w:r w:rsidRPr="002F678A">
        <w:rPr>
          <w:rFonts w:ascii="Simplified Arabic" w:hAnsi="Simplified Arabic" w:cs="Simplified Arabic"/>
          <w:color w:val="1B1B1B"/>
          <w:sz w:val="28"/>
          <w:szCs w:val="28"/>
        </w:rPr>
        <w:t>Pierre Kovacs</w:t>
      </w:r>
      <w:r w:rsidRPr="002F678A">
        <w:rPr>
          <w:rFonts w:ascii="Simplified Arabic" w:hAnsi="Simplified Arabic" w:cs="Simplified Arabic"/>
          <w:color w:val="1B1B1B"/>
          <w:sz w:val="28"/>
          <w:szCs w:val="28"/>
          <w:rtl/>
        </w:rPr>
        <w:t xml:space="preserve"> أمثلة عن ضوابط خاصة في جزر أوروبية، منها الجزر الفريزية الهولندية وفارو وآلاند (</w:t>
      </w:r>
      <w:r w:rsidRPr="002F678A">
        <w:rPr>
          <w:rFonts w:ascii="Simplified Arabic" w:hAnsi="Simplified Arabic" w:cs="Simplified Arabic"/>
          <w:color w:val="1B1B1B"/>
          <w:sz w:val="28"/>
          <w:szCs w:val="28"/>
        </w:rPr>
        <w:t>Îles frisonnes des Pays-Bas, Féroés du Danemark, Allands de Finlande</w:t>
      </w:r>
      <w:r w:rsidRPr="002F678A">
        <w:rPr>
          <w:rFonts w:ascii="Simplified Arabic" w:hAnsi="Simplified Arabic" w:cs="Simplified Arabic"/>
          <w:color w:val="1B1B1B"/>
          <w:sz w:val="28"/>
          <w:szCs w:val="28"/>
          <w:rtl/>
        </w:rPr>
        <w:t>)، حيث تبرز اعتبارات حماية الخصوصيات المحلية واللغوية، ومنع إقصاء السكان نتيجة ارتفاع أسعار العقارات.</w:t>
      </w:r>
    </w:p>
    <w:p w14:paraId="3DACA427"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وهذه التجارب لا تبرّر القيود الطائفية، لكنّها تؤكّد إمكان تنظيم الحقوق العقارية وفق معايير موضوعية ومتناسبة.</w:t>
      </w:r>
    </w:p>
    <w:p w14:paraId="23223394"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72216C36"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Pr>
        <w:t>Pierre Kovacs, « La protection des minorités dans la jurisprudence de la Cour européenne des droits de l’homme », ap. Laszlo Trocsanyi et Laureline Cognard (dir.), Statut et protection des minorités Exemples en Europe occidentale et centrale ainsi que dans les pays méditerranéens, Bruxelles, Bruylant, 2009, 254 p., pp. 49-81</w:t>
      </w:r>
      <w:r w:rsidRPr="002F678A">
        <w:rPr>
          <w:rFonts w:ascii="Simplified Arabic" w:hAnsi="Simplified Arabic" w:cs="Simplified Arabic"/>
          <w:color w:val="1B1B1B"/>
          <w:sz w:val="28"/>
          <w:szCs w:val="28"/>
          <w:rtl/>
        </w:rPr>
        <w:t>.</w:t>
      </w:r>
    </w:p>
    <w:p w14:paraId="07413D58"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6CDB17D5"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Style w:val="Strong"/>
          <w:rFonts w:ascii="Simplified Arabic" w:hAnsi="Simplified Arabic" w:cs="Simplified Arabic"/>
          <w:color w:val="1B1B1B"/>
          <w:sz w:val="28"/>
          <w:szCs w:val="28"/>
          <w:rtl/>
        </w:rPr>
        <w:t>الأرض والذاكرة والعدالة التاريخية</w:t>
      </w:r>
    </w:p>
    <w:p w14:paraId="2C2E2F6E"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lastRenderedPageBreak/>
        <w:t>تقدِّم جنوب أفريقيا تجربة مختلفة، لكنها تكشف عمق العلاقة بين الأرض والاستقرار الوطني. منذ انتهاء نظام الفصل العنصري عام 1994، أصبحت معالجة الاستيلاء التاريخي على الأراضي جزءاً من مشروع إعادة بناء العدالة والمصالحة.</w:t>
      </w:r>
    </w:p>
    <w:p w14:paraId="02DE5BEB"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2778E864"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xml:space="preserve">خصَّصت صحيفة </w:t>
      </w:r>
      <w:r w:rsidRPr="002F678A">
        <w:rPr>
          <w:rFonts w:ascii="Simplified Arabic" w:hAnsi="Simplified Arabic" w:cs="Simplified Arabic"/>
          <w:color w:val="1B1B1B"/>
          <w:sz w:val="28"/>
          <w:szCs w:val="28"/>
        </w:rPr>
        <w:t>Le Monde</w:t>
      </w:r>
      <w:r w:rsidRPr="002F678A">
        <w:rPr>
          <w:rFonts w:ascii="Simplified Arabic" w:hAnsi="Simplified Arabic" w:cs="Simplified Arabic"/>
          <w:color w:val="1B1B1B"/>
          <w:sz w:val="28"/>
          <w:szCs w:val="28"/>
          <w:rtl/>
        </w:rPr>
        <w:t xml:space="preserve"> تحقيقاً في 4 صفحات لهذه المسألة في عددها الصادر يومَي 20 و21 كانون الثاني 2019 (من ص 14-17)، مبرزةً تعقيدات استعادة الحقوق العقارية والخوف المتبادل بين المجموعات السكانية. وتشير حالات أخرى إلى أنّ القيود المفروضة في بعض المجتمعات تصل إلى حدّ منع الشاري من الحصول على إقامة، خصوصاً في حالات التحايل. والدرس الأساسي أنّ النزاعات على الأرض لا تُعالج بمنطق الغلبة أو الانتقام، بل بمؤسسات عادلة تحمي الحقوق وتمنع إعادة إنتاج المظالم.</w:t>
      </w:r>
    </w:p>
    <w:p w14:paraId="647809A3"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6C16A3BB"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Style w:val="Strong"/>
          <w:rFonts w:ascii="Simplified Arabic" w:hAnsi="Simplified Arabic" w:cs="Simplified Arabic"/>
          <w:color w:val="1B1B1B"/>
          <w:sz w:val="28"/>
          <w:szCs w:val="28"/>
          <w:rtl/>
        </w:rPr>
        <w:t>الرقابة على العقارات: فوق الأرض وتحتها</w:t>
      </w:r>
    </w:p>
    <w:p w14:paraId="3B941DE4"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ثمة جانب لا يجوز إغفاله، يتعلّق بالأمن الوطني. من حق السلطة العامة، بل من واجبها، التحقق من طبيعة المنشآت والمحتويات الموجودة فوق العقارات وتحتها، ضمن الصلاحيات والإجراءات التي يحدّدها القانون.</w:t>
      </w:r>
    </w:p>
    <w:p w14:paraId="3C4B8F77"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39CBA7B1"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قد تُستخدم الملكيات الواسعة أو المتجاورة لإقامة منشآت تحت الأرض أو مستودعات أو ممرات وأنفاق أو بنى تحتية أمنية وعسكرية غير مشروعة، تخدم أحد الأحزاب أو الميليشيات بعيداً من رقابة المؤسسات الرسمية.</w:t>
      </w:r>
    </w:p>
    <w:p w14:paraId="54ECF483"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216D1CCF"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ولا يجوز أن تتحوَّل حرمة الملكية الخاصة إلى حصانة تحجب عن السلطات المختصة التحقق من الاستخدام الفعلي للعقارات، عندما تتوافر مؤشرات جدية تستوجب التدقيق.</w:t>
      </w:r>
    </w:p>
    <w:p w14:paraId="71F6F528"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لكنّ ممارسة هذه الرقابة تقتضي احترام الضمانات الدستورية والقضائية، فلا تفتيش أو دخول أو كشف على الملكيات الخاصة خارج الأصول القانونية. الملكية الخاصة حق دستوري، لكنها لا تمنح صاحبها حق إنشاء بنى أمنية أو عسكرية موازية للسلطة الشرعية.</w:t>
      </w:r>
    </w:p>
    <w:p w14:paraId="2A27F612"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5A17D1CD"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Style w:val="Strong"/>
          <w:rFonts w:ascii="Simplified Arabic" w:hAnsi="Simplified Arabic" w:cs="Simplified Arabic"/>
          <w:color w:val="1B1B1B"/>
          <w:sz w:val="28"/>
          <w:szCs w:val="28"/>
          <w:rtl/>
        </w:rPr>
        <w:t>من التملُّك إلى التلاعب بالجغرافيا الانتخابية</w:t>
      </w:r>
    </w:p>
    <w:p w14:paraId="5ED88754"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ثمة بُعد آخر لا يحظى بالاهتمام الكافي في لبنان: العلاقة بين الإقامة والتمثيل السياسي. إنّ التلاعب بتسجيل أماكن الإقامة أو القيد الانتخابي قد يتحوَّل إلى وسيلة للتأثير في التوازنات الانتخابية، بما يُعرَف بالتلاعب بالجغرافيا الانتخابية (</w:t>
      </w:r>
      <w:r w:rsidRPr="002F678A">
        <w:rPr>
          <w:rFonts w:ascii="Simplified Arabic" w:hAnsi="Simplified Arabic" w:cs="Simplified Arabic"/>
          <w:color w:val="1B1B1B"/>
          <w:sz w:val="28"/>
          <w:szCs w:val="28"/>
        </w:rPr>
        <w:t>Gerrymandering</w:t>
      </w:r>
      <w:r w:rsidRPr="002F678A">
        <w:rPr>
          <w:rFonts w:ascii="Simplified Arabic" w:hAnsi="Simplified Arabic" w:cs="Simplified Arabic"/>
          <w:color w:val="1B1B1B"/>
          <w:sz w:val="28"/>
          <w:szCs w:val="28"/>
          <w:rtl/>
        </w:rPr>
        <w:t>).</w:t>
      </w:r>
    </w:p>
    <w:p w14:paraId="33CC83E6"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lastRenderedPageBreak/>
        <w:t> </w:t>
      </w:r>
    </w:p>
    <w:p w14:paraId="47ECD4FD"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وتبرز هنا أهمية التحقق من الروابط الفعلية أو القانونية التي تبرر نقل القيد، ومنع تحويله إلى إجراء صوري يخدم مرشحاً أو لائحة انتخابية. المطلوب أن تعكس السجلات والعمليات الانتخابية الحقوق القانونية للمواطنين، لا أن تصبح أداة لإعادة تركيب الموازين السياسية بصورة مصطنعة. هذا التحدّي يتصل أيضاً بالغاية الإصلاحية للمادة 95 من الدستور، وبضرورة تجاوز الاستخدام السياسي للانتماءات الطائفية.</w:t>
      </w:r>
    </w:p>
    <w:p w14:paraId="63B3BDDB"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0187737F"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Style w:val="Strong"/>
          <w:rFonts w:ascii="Simplified Arabic" w:hAnsi="Simplified Arabic" w:cs="Simplified Arabic"/>
          <w:color w:val="1B1B1B"/>
          <w:sz w:val="28"/>
          <w:szCs w:val="28"/>
          <w:rtl/>
        </w:rPr>
        <w:t>حماية الأرض لا تعني إقامة حدود بين اللبنانيين</w:t>
      </w:r>
    </w:p>
    <w:p w14:paraId="4466890E"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كل الحالات المذكورة وغيرها ممّا قد يظهر تباعاً تستدعي الانكباب على دراسة هذه الظاهرة وإيجاد الحلول لها. ولا يكون ذلك بإشاحة النظر عنها أو إنكارها أو التنكُّر لها. إنّ حماية الأرض اللبنانية لا تتحقق بإحياء الحواجز التي أسقطتها تجربة الحرب، بل بمنع استغلال الحقوق العقارية والانتخابية، لتحقيق أهداف تتعارض مع المواطنة والعيش المشترك.</w:t>
      </w:r>
    </w:p>
    <w:p w14:paraId="2CA4C796"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 </w:t>
      </w:r>
    </w:p>
    <w:p w14:paraId="4889A134" w14:textId="77777777" w:rsidR="00947B67" w:rsidRPr="002F678A" w:rsidRDefault="00947B67" w:rsidP="00947B67">
      <w:pPr>
        <w:pStyle w:val="NormalWeb"/>
        <w:shd w:val="clear" w:color="auto" w:fill="F9FBFD"/>
        <w:bidi/>
        <w:spacing w:before="0" w:beforeAutospacing="0" w:after="0" w:afterAutospacing="0"/>
        <w:rPr>
          <w:rFonts w:ascii="Simplified Arabic" w:hAnsi="Simplified Arabic" w:cs="Simplified Arabic"/>
          <w:color w:val="1B1B1B"/>
          <w:sz w:val="28"/>
          <w:szCs w:val="28"/>
          <w:rtl/>
        </w:rPr>
      </w:pPr>
      <w:r w:rsidRPr="002F678A">
        <w:rPr>
          <w:rFonts w:ascii="Simplified Arabic" w:hAnsi="Simplified Arabic" w:cs="Simplified Arabic"/>
          <w:color w:val="1B1B1B"/>
          <w:sz w:val="28"/>
          <w:szCs w:val="28"/>
          <w:rtl/>
        </w:rPr>
        <w:t>تقع على السلطة مسؤولية التمييز بين حرّية الأفراد في التملُّك والإقامة، وبين الممارسات المنظّمة، التي قد تستهدف إعادة تشكيل النفوذ السياسي أو إقصاء السكان. الأرض ليست مجرّد مساحة جغرافية، بل إطار للذاكرة والانتماء والمواطنة. وحمايتها لا تكون بتقسيم اللبنانيّين، بل بمنع تحويلها مجدّداً إلى أداة لتقسيمهم.</w:t>
      </w:r>
    </w:p>
    <w:p w14:paraId="1ABAD9EF" w14:textId="77777777" w:rsidR="00947B67" w:rsidRPr="002F678A" w:rsidRDefault="00947B67" w:rsidP="00947B67">
      <w:pPr>
        <w:bidi/>
        <w:rPr>
          <w:rFonts w:ascii="Simplified Arabic" w:hAnsi="Simplified Arabic" w:cs="Simplified Arabic"/>
          <w:sz w:val="28"/>
          <w:szCs w:val="28"/>
        </w:rPr>
      </w:pPr>
    </w:p>
    <w:p w14:paraId="420F9A84" w14:textId="77777777" w:rsidR="009C2B5B" w:rsidRPr="002F678A" w:rsidRDefault="009C2B5B" w:rsidP="009C2B5B">
      <w:pPr>
        <w:bidi/>
        <w:rPr>
          <w:rFonts w:ascii="Simplified Arabic" w:hAnsi="Simplified Arabic" w:cs="Simplified Arabic"/>
          <w:sz w:val="28"/>
          <w:szCs w:val="28"/>
        </w:rPr>
      </w:pPr>
    </w:p>
    <w:p w14:paraId="6BA780D5"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t xml:space="preserve"> </w:t>
      </w:r>
    </w:p>
    <w:p w14:paraId="14066524" w14:textId="77777777" w:rsidR="009C2B5B" w:rsidRPr="002F678A" w:rsidRDefault="009C2B5B" w:rsidP="009C2B5B">
      <w:pPr>
        <w:bidi/>
        <w:rPr>
          <w:rFonts w:ascii="Simplified Arabic" w:hAnsi="Simplified Arabic" w:cs="Simplified Arabic"/>
          <w:sz w:val="28"/>
          <w:szCs w:val="28"/>
        </w:rPr>
      </w:pPr>
    </w:p>
    <w:p w14:paraId="5462CFFF"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السلطة مطالبة بحماية حرّية المالك المحتاج إلى البيع، وبمنع استغلال حاجته في عمليات استحواذ منظمة قد تفضي إلى إقصاء السكان أو تغيير البيئة العمرانية والاجتماعية بصورة قسرية أو احتيالية</w:t>
      </w:r>
      <w:r w:rsidRPr="002F678A">
        <w:rPr>
          <w:rFonts w:ascii="Simplified Arabic" w:hAnsi="Simplified Arabic" w:cs="Simplified Arabic"/>
          <w:sz w:val="28"/>
          <w:szCs w:val="28"/>
        </w:rPr>
        <w:t>.</w:t>
      </w:r>
    </w:p>
    <w:p w14:paraId="6DD25322" w14:textId="77777777" w:rsidR="009C2B5B" w:rsidRPr="002F678A" w:rsidRDefault="009C2B5B" w:rsidP="009C2B5B">
      <w:pPr>
        <w:bidi/>
        <w:rPr>
          <w:rFonts w:ascii="Simplified Arabic" w:hAnsi="Simplified Arabic" w:cs="Simplified Arabic"/>
          <w:sz w:val="28"/>
          <w:szCs w:val="28"/>
        </w:rPr>
      </w:pPr>
    </w:p>
    <w:p w14:paraId="38CC35F7"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المطلوب ليس حماية مناطق لطائفة من طائفة أخرى، بل حماية وحدة المجتمع اللبناني من تحويل الأرض إلى أداة للفرز والانقسام</w:t>
      </w:r>
      <w:r w:rsidRPr="002F678A">
        <w:rPr>
          <w:rFonts w:ascii="Simplified Arabic" w:hAnsi="Simplified Arabic" w:cs="Simplified Arabic"/>
          <w:sz w:val="28"/>
          <w:szCs w:val="28"/>
        </w:rPr>
        <w:t>.</w:t>
      </w:r>
    </w:p>
    <w:p w14:paraId="0D3F0CE4" w14:textId="77777777" w:rsidR="009C2B5B" w:rsidRPr="002F678A" w:rsidRDefault="009C2B5B" w:rsidP="009C2B5B">
      <w:pPr>
        <w:bidi/>
        <w:rPr>
          <w:rFonts w:ascii="Simplified Arabic" w:hAnsi="Simplified Arabic" w:cs="Simplified Arabic"/>
          <w:sz w:val="28"/>
          <w:szCs w:val="28"/>
        </w:rPr>
      </w:pPr>
    </w:p>
    <w:p w14:paraId="46DE373B"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Pr>
        <w:lastRenderedPageBreak/>
        <w:t xml:space="preserve"> </w:t>
      </w:r>
    </w:p>
    <w:p w14:paraId="55F9B94F" w14:textId="77777777" w:rsidR="009C2B5B" w:rsidRPr="002F678A" w:rsidRDefault="009C2B5B" w:rsidP="009C2B5B">
      <w:pPr>
        <w:bidi/>
        <w:rPr>
          <w:rFonts w:ascii="Simplified Arabic" w:hAnsi="Simplified Arabic" w:cs="Simplified Arabic"/>
          <w:sz w:val="28"/>
          <w:szCs w:val="28"/>
        </w:rPr>
      </w:pPr>
    </w:p>
    <w:p w14:paraId="6846F499" w14:textId="77777777" w:rsidR="009C2B5B"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في بلد صغير المساحة، عانى طويلاً من النزاعات والانقسامات، تصبح السياسة العقارية الرشيدة جزءاً من مسؤولية السلطة عن الاستقرار والسلم الأهلي</w:t>
      </w:r>
      <w:r w:rsidRPr="002F678A">
        <w:rPr>
          <w:rFonts w:ascii="Simplified Arabic" w:hAnsi="Simplified Arabic" w:cs="Simplified Arabic"/>
          <w:sz w:val="28"/>
          <w:szCs w:val="28"/>
        </w:rPr>
        <w:t>.</w:t>
      </w:r>
    </w:p>
    <w:p w14:paraId="052276D0" w14:textId="77777777" w:rsidR="009C2B5B" w:rsidRPr="002F678A" w:rsidRDefault="009C2B5B" w:rsidP="009C2B5B">
      <w:pPr>
        <w:bidi/>
        <w:rPr>
          <w:rFonts w:ascii="Simplified Arabic" w:hAnsi="Simplified Arabic" w:cs="Simplified Arabic"/>
          <w:sz w:val="28"/>
          <w:szCs w:val="28"/>
        </w:rPr>
      </w:pPr>
    </w:p>
    <w:p w14:paraId="1FC2E4A8" w14:textId="1634CC40" w:rsidR="004416C8" w:rsidRPr="002F678A" w:rsidRDefault="009C2B5B" w:rsidP="009C2B5B">
      <w:pPr>
        <w:bidi/>
        <w:rPr>
          <w:rFonts w:ascii="Simplified Arabic" w:hAnsi="Simplified Arabic" w:cs="Simplified Arabic"/>
          <w:sz w:val="28"/>
          <w:szCs w:val="28"/>
        </w:rPr>
      </w:pPr>
      <w:r w:rsidRPr="002F678A">
        <w:rPr>
          <w:rFonts w:ascii="Simplified Arabic" w:hAnsi="Simplified Arabic" w:cs="Simplified Arabic"/>
          <w:sz w:val="28"/>
          <w:szCs w:val="28"/>
          <w:rtl/>
        </w:rPr>
        <w:t>الأرض ملكية خاصة، نعم، لكنّها أيضاً مساحة مشتركة للعيش والمواطنة. وبين هذَين البُعدَين تقع مسؤولية السلطة في تحقيق العدالة وحماية المصلحة العامة</w:t>
      </w:r>
      <w:r w:rsidRPr="002F678A">
        <w:rPr>
          <w:rFonts w:ascii="Simplified Arabic" w:hAnsi="Simplified Arabic" w:cs="Simplified Arabic"/>
          <w:sz w:val="28"/>
          <w:szCs w:val="28"/>
        </w:rPr>
        <w:t>.</w:t>
      </w:r>
    </w:p>
    <w:sectPr w:rsidR="004416C8" w:rsidRPr="002F678A" w:rsidSect="00C621D6">
      <w:pgSz w:w="11906" w:h="16838" w:code="9"/>
      <w:pgMar w:top="153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B5B"/>
    <w:rsid w:val="002F678A"/>
    <w:rsid w:val="004416C8"/>
    <w:rsid w:val="008F7C02"/>
    <w:rsid w:val="00947B67"/>
    <w:rsid w:val="009C2B5B"/>
    <w:rsid w:val="00C621D6"/>
    <w:rsid w:val="00D23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12407"/>
  <w15:chartTrackingRefBased/>
  <w15:docId w15:val="{8101EB9C-0B9C-4101-BAE7-C6B0FCB0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7B6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47B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066679">
      <w:bodyDiv w:val="1"/>
      <w:marLeft w:val="0"/>
      <w:marRight w:val="0"/>
      <w:marTop w:val="0"/>
      <w:marBottom w:val="0"/>
      <w:divBdr>
        <w:top w:val="none" w:sz="0" w:space="0" w:color="auto"/>
        <w:left w:val="none" w:sz="0" w:space="0" w:color="auto"/>
        <w:bottom w:val="none" w:sz="0" w:space="0" w:color="auto"/>
        <w:right w:val="none" w:sz="0" w:space="0" w:color="auto"/>
      </w:divBdr>
      <w:divsChild>
        <w:div w:id="1943565430">
          <w:marLeft w:val="0"/>
          <w:marRight w:val="0"/>
          <w:marTop w:val="240"/>
          <w:marBottom w:val="240"/>
          <w:divBdr>
            <w:top w:val="none" w:sz="0" w:space="0" w:color="auto"/>
            <w:left w:val="none" w:sz="0" w:space="0" w:color="auto"/>
            <w:bottom w:val="none" w:sz="0" w:space="0" w:color="auto"/>
            <w:right w:val="none" w:sz="0" w:space="0" w:color="auto"/>
          </w:divBdr>
        </w:div>
        <w:div w:id="2059555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1991</Words>
  <Characters>11355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Issam Ismail</dc:creator>
  <cp:keywords/>
  <dc:description/>
  <cp:lastModifiedBy>Issam Ismail</cp:lastModifiedBy>
  <cp:revision>5</cp:revision>
  <dcterms:created xsi:type="dcterms:W3CDTF">2026-10-19T16:38:00Z</dcterms:created>
  <dcterms:modified xsi:type="dcterms:W3CDTF">2026-10-22T04:39:00Z</dcterms:modified>
</cp:coreProperties>
</file>