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46" w:rsidRDefault="00DB0246" w:rsidP="00DB0246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  <w:r w:rsidRPr="006E0D43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tbl>
      <w:tblPr>
        <w:bidiVisual/>
        <w:tblW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  <w:gridCol w:w="1402"/>
      </w:tblGrid>
      <w:tr w:rsidR="00DB0246" w:rsidRPr="00A63E07" w:rsidTr="00B03475">
        <w:trPr>
          <w:trHeight w:val="520"/>
        </w:trPr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كلمة رئيس التحرير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</w:tr>
      <w:tr w:rsidR="00DB0246" w:rsidRPr="00A63E07" w:rsidTr="00B03475">
        <w:trPr>
          <w:trHeight w:val="195"/>
        </w:trPr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</w:tr>
      <w:tr w:rsidR="00DB0246" w:rsidRPr="00A63E07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رسالة فخامة رئيس الجمهورية الى اللبنانيين لمناسبة انطلاق الانتخابات النيابية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8021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كلمة فخامة رئيس الجمهورية بمناسبة افتتاح المؤتمر الدولي عن "المساواة في الديمقراطية" في جبيل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العميد د. كميل  حبيب ، المساواة في الديمقراطية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19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tabs>
                <w:tab w:val="left" w:pos="661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</w:rPr>
              <w:t xml:space="preserve">Salim </w:t>
            </w:r>
            <w:proofErr w:type="spellStart"/>
            <w:r w:rsidRPr="0048021E">
              <w:rPr>
                <w:rFonts w:asciiTheme="majorBidi" w:hAnsiTheme="majorBidi" w:cstheme="majorBidi"/>
                <w:sz w:val="28"/>
                <w:szCs w:val="28"/>
              </w:rPr>
              <w:t>Jreissati</w:t>
            </w:r>
            <w:proofErr w:type="spellEnd"/>
            <w:r w:rsidRPr="0048021E">
              <w:rPr>
                <w:rFonts w:asciiTheme="majorBidi" w:hAnsiTheme="majorBidi" w:cstheme="majorBidi"/>
                <w:sz w:val="28"/>
                <w:szCs w:val="28"/>
              </w:rPr>
              <w:t xml:space="preserve"> The Rule of Law in Arab </w:t>
            </w:r>
            <w:proofErr w:type="spellStart"/>
            <w:r w:rsidRPr="0048021E">
              <w:rPr>
                <w:rFonts w:asciiTheme="majorBidi" w:hAnsiTheme="majorBidi" w:cstheme="majorBidi"/>
                <w:sz w:val="28"/>
                <w:szCs w:val="28"/>
              </w:rPr>
              <w:t>CountriesThe</w:t>
            </w:r>
            <w:proofErr w:type="spellEnd"/>
            <w:r w:rsidRPr="0048021E">
              <w:rPr>
                <w:rFonts w:asciiTheme="majorBidi" w:hAnsiTheme="majorBidi" w:cstheme="majorBidi"/>
                <w:sz w:val="28"/>
                <w:szCs w:val="28"/>
              </w:rPr>
              <w:t xml:space="preserve"> Independence of the Judiciary in Lebanon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22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</w:rPr>
              <w:t xml:space="preserve">Karim </w:t>
            </w:r>
            <w:proofErr w:type="spellStart"/>
            <w:r w:rsidRPr="0048021E">
              <w:rPr>
                <w:rFonts w:asciiTheme="majorBidi" w:hAnsiTheme="majorBidi" w:cstheme="majorBidi"/>
                <w:sz w:val="28"/>
                <w:szCs w:val="28"/>
              </w:rPr>
              <w:t>Kobeissi</w:t>
            </w:r>
            <w:proofErr w:type="spellEnd"/>
            <w:r w:rsidRPr="0048021E">
              <w:rPr>
                <w:rFonts w:asciiTheme="majorBidi" w:hAnsiTheme="majorBidi" w:cstheme="majorBidi"/>
                <w:sz w:val="28"/>
                <w:szCs w:val="28"/>
              </w:rPr>
              <w:t>, Harvard Law School Bicentennial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27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الأول: أبحاث في القانون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31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رجاء شريف، ثقافة التشريع ومسؤولية الدولة عن التشريعات الضريبية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33</w:t>
            </w:r>
          </w:p>
        </w:tc>
      </w:tr>
      <w:tr w:rsidR="00DB0246" w:rsidRPr="00F142C3" w:rsidTr="00B03475">
        <w:trPr>
          <w:trHeight w:val="299"/>
        </w:trPr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د. نجاة جرجس جدعون،   ضمانات حقّ الشِّفعة في ضوء التّشريع والاجتهاد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69</w:t>
            </w:r>
          </w:p>
        </w:tc>
      </w:tr>
      <w:tr w:rsidR="00DB0246" w:rsidRPr="00F142C3" w:rsidTr="00B03475">
        <w:trPr>
          <w:trHeight w:val="299"/>
        </w:trPr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علي عصام غصن، عمولة السمسار بين العرف والقضاء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89</w:t>
            </w:r>
          </w:p>
        </w:tc>
      </w:tr>
      <w:tr w:rsidR="00DB0246" w:rsidRPr="00F142C3" w:rsidTr="00B03475">
        <w:trPr>
          <w:trHeight w:val="299"/>
        </w:trPr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سامر ماهر عبدالله، المعاملات التجارية والأحكام المدنية 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99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د. أشرف رمّال، القانون والإجهاض 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120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 الثاني: دراسات في العلوم السياسية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137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د. كميل حبيب، </w:t>
            </w: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دور القانون والقضاء الدولي في حماية الحقوق والحريات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139</w:t>
            </w:r>
          </w:p>
        </w:tc>
      </w:tr>
      <w:tr w:rsidR="00DB0246" w:rsidRPr="00A63E07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غسان ملحم، الجيل الرابع من الحروب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189</w:t>
            </w:r>
          </w:p>
        </w:tc>
      </w:tr>
      <w:tr w:rsidR="00DB0246" w:rsidRPr="00A63E07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البير رحمة، السلطة بين الفرد والمؤسسة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218</w:t>
            </w:r>
          </w:p>
        </w:tc>
      </w:tr>
      <w:tr w:rsidR="00DB0246" w:rsidRPr="00F142C3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</w:rPr>
              <w:t>د. عصام نعمة إسماعيل، قياس القوة التجييرية للأحزاب والقوى السياسية وفق نتائج الانتخابات النيابية ربيع 2018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253</w:t>
            </w:r>
          </w:p>
        </w:tc>
      </w:tr>
      <w:tr w:rsidR="00DB0246" w:rsidRPr="00A63E07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B0246" w:rsidRPr="00A63E07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الثالث: تعليقات على أحكام قضائية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269</w:t>
            </w:r>
          </w:p>
        </w:tc>
      </w:tr>
      <w:tr w:rsidR="00DB0246" w:rsidRPr="00A63E07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داني نعوس، تعليق على حكم صادر عن القاضي العقاري في الجنوب بتاريخ 24 تشرين الأول 2013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يتعلق بالتحديد والتحرير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271</w:t>
            </w:r>
          </w:p>
        </w:tc>
      </w:tr>
      <w:tr w:rsidR="00DB0246" w:rsidRPr="00A63E07" w:rsidTr="00B03475">
        <w:tc>
          <w:tcPr>
            <w:tcW w:w="6154" w:type="dxa"/>
          </w:tcPr>
          <w:p w:rsidR="00DB0246" w:rsidRPr="0048021E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8021E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د. رجاء شريف، </w:t>
            </w:r>
            <w:r w:rsidRPr="0048021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تعريف العمل المأجور وفق قرار مجلس شورى الدولة رقم 63/2013 تاريخ 25/10/2013</w:t>
            </w:r>
          </w:p>
        </w:tc>
        <w:tc>
          <w:tcPr>
            <w:tcW w:w="1402" w:type="dxa"/>
          </w:tcPr>
          <w:p w:rsidR="00DB0246" w:rsidRPr="0048021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318</w:t>
            </w:r>
          </w:p>
        </w:tc>
      </w:tr>
      <w:tr w:rsidR="00DB0246" w:rsidRPr="00A63E07" w:rsidTr="00B03475">
        <w:tc>
          <w:tcPr>
            <w:tcW w:w="6154" w:type="dxa"/>
          </w:tcPr>
          <w:p w:rsidR="00DB0246" w:rsidRPr="00516F5B" w:rsidRDefault="00DB0246" w:rsidP="00B0347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516F5B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عصام نعمة إسماعيل، تعليق على قرارين لمجلس شورى الدولة (نظرة جديدة لمهلة المراجعة القضائية).</w:t>
            </w:r>
          </w:p>
        </w:tc>
        <w:tc>
          <w:tcPr>
            <w:tcW w:w="1402" w:type="dxa"/>
          </w:tcPr>
          <w:p w:rsidR="00DB0246" w:rsidRPr="009B4B9E" w:rsidRDefault="00DB0246" w:rsidP="00B03475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329</w:t>
            </w:r>
          </w:p>
        </w:tc>
      </w:tr>
    </w:tbl>
    <w:p w:rsidR="00DB0246" w:rsidRDefault="00DB0246" w:rsidP="00DB02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DB0246" w:rsidRDefault="00DB0246" w:rsidP="00DB02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DB0246" w:rsidRDefault="00DB0246" w:rsidP="00DB0246">
      <w:pPr>
        <w:bidi/>
        <w:jc w:val="center"/>
        <w:rPr>
          <w:rFonts w:cs="Monotype Koufi"/>
          <w:sz w:val="36"/>
          <w:szCs w:val="36"/>
          <w:rtl/>
        </w:rPr>
      </w:pPr>
    </w:p>
    <w:p w:rsidR="00DB0246" w:rsidRDefault="00DB0246" w:rsidP="00DB0246">
      <w:pPr>
        <w:bidi/>
        <w:jc w:val="center"/>
        <w:rPr>
          <w:rFonts w:cs="Monotype Koufi"/>
          <w:sz w:val="36"/>
          <w:szCs w:val="36"/>
          <w:rtl/>
        </w:rPr>
      </w:pPr>
    </w:p>
    <w:p w:rsidR="00DB0246" w:rsidRDefault="00DB0246" w:rsidP="00DB0246">
      <w:pPr>
        <w:bidi/>
        <w:jc w:val="center"/>
        <w:rPr>
          <w:rFonts w:cs="Monotype Koufi"/>
          <w:sz w:val="36"/>
          <w:szCs w:val="3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46"/>
    <w:rsid w:val="00282896"/>
    <w:rsid w:val="00D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1F1AB-FF44-472B-91F4-B094513F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BP"/>
    <w:basedOn w:val="Normal"/>
    <w:uiPriority w:val="34"/>
    <w:qFormat/>
    <w:rsid w:val="00DB02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SACC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2022-11-10T16:50:00Z</dcterms:created>
  <dcterms:modified xsi:type="dcterms:W3CDTF">2022-11-10T16:50:00Z</dcterms:modified>
</cp:coreProperties>
</file>