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8D" w:rsidRDefault="000D448D" w:rsidP="000D448D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rtl/>
          <w:lang w:bidi="ar-LB"/>
        </w:rPr>
      </w:pPr>
    </w:p>
    <w:p w:rsidR="000D448D" w:rsidRDefault="000D448D" w:rsidP="000D448D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rtl/>
          <w:lang w:bidi="ar-LB"/>
        </w:rPr>
      </w:pPr>
      <w:r w:rsidRPr="006017CE">
        <w:rPr>
          <w:rFonts w:asciiTheme="majorBidi" w:hAnsiTheme="majorBidi" w:cs="AL-Battar" w:hint="cs"/>
          <w:sz w:val="48"/>
          <w:szCs w:val="48"/>
          <w:rtl/>
          <w:lang w:bidi="ar-LB"/>
        </w:rPr>
        <w:t>محتويات</w:t>
      </w:r>
      <w:r>
        <w:rPr>
          <w:rFonts w:asciiTheme="majorBidi" w:hAnsiTheme="majorBidi" w:cs="AL-Battar" w:hint="cs"/>
          <w:sz w:val="48"/>
          <w:szCs w:val="48"/>
          <w:rtl/>
          <w:lang w:bidi="ar-LB"/>
        </w:rPr>
        <w:t xml:space="preserve"> </w:t>
      </w:r>
      <w:r w:rsidRPr="006017CE">
        <w:rPr>
          <w:rFonts w:asciiTheme="majorBidi" w:hAnsiTheme="majorBidi" w:cs="AL-Battar" w:hint="cs"/>
          <w:sz w:val="48"/>
          <w:szCs w:val="48"/>
          <w:rtl/>
          <w:lang w:bidi="ar-LB"/>
        </w:rPr>
        <w:t>المجلة</w:t>
      </w:r>
    </w:p>
    <w:p w:rsidR="000D448D" w:rsidRPr="006017CE" w:rsidRDefault="000D448D" w:rsidP="000D448D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lang w:bidi="ar-LB"/>
        </w:rPr>
      </w:pPr>
    </w:p>
    <w:tbl>
      <w:tblPr>
        <w:bidiVisual/>
        <w:tblW w:w="731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851"/>
      </w:tblGrid>
      <w:tr w:rsidR="000D448D" w:rsidRPr="006017CE" w:rsidTr="00CF1C2E">
        <w:trPr>
          <w:trHeight w:val="520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30391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أولاً: الجلسة الافتتاحية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9</w:t>
            </w:r>
          </w:p>
        </w:tc>
      </w:tr>
      <w:tr w:rsidR="000D448D" w:rsidRPr="006017CE" w:rsidTr="00CF1C2E">
        <w:trPr>
          <w:trHeight w:val="520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كلمة منسق أعمال المؤتمر د. رشا عبد الحي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11</w:t>
            </w:r>
          </w:p>
        </w:tc>
      </w:tr>
      <w:tr w:rsidR="000D448D" w:rsidRPr="006017CE" w:rsidTr="00CF1C2E">
        <w:trPr>
          <w:trHeight w:val="520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كلمة العميد د. كميل حبيب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14</w:t>
            </w:r>
          </w:p>
        </w:tc>
      </w:tr>
      <w:tr w:rsidR="000D448D" w:rsidRPr="006017CE" w:rsidTr="00CF1C2E">
        <w:trPr>
          <w:trHeight w:val="520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كلمة النائب </w:t>
            </w:r>
            <w:r w:rsidRPr="003039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الأستاذ </w:t>
            </w: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سمير الجسر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19</w:t>
            </w:r>
          </w:p>
        </w:tc>
      </w:tr>
      <w:tr w:rsidR="000D448D" w:rsidRPr="006017CE" w:rsidTr="00CF1C2E">
        <w:trPr>
          <w:trHeight w:val="520"/>
        </w:trPr>
        <w:tc>
          <w:tcPr>
            <w:tcW w:w="6459" w:type="dxa"/>
            <w:tcBorders>
              <w:left w:val="nil"/>
              <w:right w:val="nil"/>
            </w:tcBorders>
          </w:tcPr>
          <w:p w:rsidR="000D448D" w:rsidRPr="006017CE" w:rsidRDefault="000D448D" w:rsidP="00CF1C2E">
            <w:pPr>
              <w:bidi/>
              <w:spacing w:after="0" w:line="240" w:lineRule="auto"/>
              <w:ind w:firstLine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D448D" w:rsidRPr="006017CE" w:rsidTr="00CF1C2E"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303912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ثانياً: أوراق ودراسات في أعمال المؤتمر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29</w:t>
            </w:r>
          </w:p>
        </w:tc>
      </w:tr>
      <w:tr w:rsidR="000D448D" w:rsidRPr="006017CE" w:rsidTr="00CF1C2E"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</w:pPr>
            <w:r w:rsidRPr="00303912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>د. نقولا سركيس، ضرورة ماسة لإزالة التناقضات  بين  المراسيم التطبيقية والقانون البترولي في لبنان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31</w:t>
            </w:r>
          </w:p>
        </w:tc>
      </w:tr>
      <w:tr w:rsidR="000D448D" w:rsidRPr="006017CE" w:rsidTr="00CF1C2E">
        <w:tc>
          <w:tcPr>
            <w:tcW w:w="6459" w:type="dxa"/>
          </w:tcPr>
          <w:p w:rsidR="000D448D" w:rsidRPr="00303912" w:rsidRDefault="000D448D" w:rsidP="00CF1C2E">
            <w:pPr>
              <w:shd w:val="clear" w:color="auto" w:fill="FFFFFF"/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03912">
              <w:rPr>
                <w:rFonts w:ascii="Simplified Arabic" w:eastAsia="Times New Roman" w:hAnsi="Simplified Arabic" w:cs="Simplified Arabic"/>
                <w:color w:val="212121"/>
                <w:sz w:val="28"/>
                <w:szCs w:val="28"/>
                <w:bdr w:val="none" w:sz="0" w:space="0" w:color="auto" w:frame="1"/>
                <w:rtl/>
                <w:lang w:bidi="ar-KW"/>
              </w:rPr>
              <w:t>د. بلال عقل الصنديد، التوازن التشريعي بين مبدأي المحافظة على الثروة النفطية وحماية البيئة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59</w:t>
            </w:r>
          </w:p>
        </w:tc>
      </w:tr>
      <w:tr w:rsidR="000D448D" w:rsidRPr="006017CE" w:rsidTr="00CF1C2E"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د. محمد صلاح أبو رجب</w:t>
            </w: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r w:rsidRPr="00303912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 </w:t>
            </w: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الطبيعة القانونية لعقود الاستثمار النفط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89</w:t>
            </w:r>
          </w:p>
        </w:tc>
      </w:tr>
      <w:tr w:rsidR="000D448D" w:rsidRPr="006017CE" w:rsidTr="00CF1C2E"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د. بوحفص حاكمي، تقلبات أسعار النفط وأثرها علي الاقتصاد الجزائري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123</w:t>
            </w:r>
          </w:p>
        </w:tc>
      </w:tr>
      <w:tr w:rsidR="000D448D" w:rsidRPr="006017CE" w:rsidTr="00CF1C2E">
        <w:trPr>
          <w:trHeight w:val="299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د. عبد</w:t>
            </w:r>
            <w:r w:rsidRPr="003039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العزيز الفضل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ي</w:t>
            </w: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، </w:t>
            </w: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</w:rPr>
              <w:t>تطور العقود النفطية بين التقليد والتجديد وحل النزاعات فيها دراسة الحالة الكويتية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147</w:t>
            </w:r>
          </w:p>
        </w:tc>
      </w:tr>
      <w:tr w:rsidR="000D448D" w:rsidRPr="006017CE" w:rsidTr="00CF1C2E">
        <w:trPr>
          <w:trHeight w:val="299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عبد الحميد الأحدب</w:t>
            </w:r>
            <w:r w:rsidRPr="00303912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fr-FR"/>
              </w:rPr>
              <w:t xml:space="preserve">،  </w:t>
            </w: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  <w:t>التحكيم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 w:bidi="ar-LB"/>
              </w:rPr>
              <w:t xml:space="preserve"> والنفط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176</w:t>
            </w:r>
          </w:p>
        </w:tc>
      </w:tr>
      <w:tr w:rsidR="000D448D" w:rsidRPr="006017CE" w:rsidTr="00CF1C2E">
        <w:trPr>
          <w:trHeight w:val="299"/>
        </w:trPr>
        <w:tc>
          <w:tcPr>
            <w:tcW w:w="6459" w:type="dxa"/>
          </w:tcPr>
          <w:p w:rsidR="000D448D" w:rsidRPr="00BD1D1D" w:rsidRDefault="000D448D" w:rsidP="00CF1C2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</w:pPr>
            <w:r w:rsidRPr="00BD1D1D">
              <w:rPr>
                <w:rStyle w:val="Strong"/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رامي عبد الحي، العقود النفطية بين التنظيم وتوزيع الحقوق</w:t>
            </w:r>
          </w:p>
        </w:tc>
        <w:tc>
          <w:tcPr>
            <w:tcW w:w="851" w:type="dxa"/>
          </w:tcPr>
          <w:p w:rsidR="000D448D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196</w:t>
            </w:r>
          </w:p>
        </w:tc>
      </w:tr>
      <w:tr w:rsidR="000D448D" w:rsidRPr="006017CE" w:rsidTr="00CF1C2E">
        <w:trPr>
          <w:trHeight w:val="299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التوصيات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210</w:t>
            </w:r>
          </w:p>
        </w:tc>
      </w:tr>
      <w:tr w:rsidR="000D448D" w:rsidRPr="006017CE" w:rsidTr="00CF1C2E">
        <w:trPr>
          <w:trHeight w:val="299"/>
        </w:trPr>
        <w:tc>
          <w:tcPr>
            <w:tcW w:w="6459" w:type="dxa"/>
            <w:tcBorders>
              <w:top w:val="nil"/>
              <w:left w:val="nil"/>
              <w:right w:val="nil"/>
            </w:tcBorders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D448D" w:rsidRPr="006017CE" w:rsidTr="00CF1C2E">
        <w:trPr>
          <w:trHeight w:val="299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30391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ثالثاً: دراسات ذات صلة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213</w:t>
            </w:r>
          </w:p>
        </w:tc>
      </w:tr>
      <w:tr w:rsidR="000D448D" w:rsidRPr="006017CE" w:rsidTr="00CF1C2E">
        <w:trPr>
          <w:trHeight w:val="299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د. أحمد إشراقية، قصور بنود الحماية في عقود الإستثمار النفطي 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215</w:t>
            </w:r>
          </w:p>
        </w:tc>
      </w:tr>
      <w:tr w:rsidR="000D448D" w:rsidRPr="006017CE" w:rsidTr="00CF1C2E">
        <w:trPr>
          <w:trHeight w:val="299"/>
        </w:trPr>
        <w:tc>
          <w:tcPr>
            <w:tcW w:w="6459" w:type="dxa"/>
          </w:tcPr>
          <w:p w:rsidR="000D448D" w:rsidRPr="00303912" w:rsidRDefault="000D448D" w:rsidP="00CF1C2E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303912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lastRenderedPageBreak/>
              <w:t>د. حسين العزّي، الإطار القانوني لمكافحة التسرّب النفطي في المياه البحرية اللبنانية</w:t>
            </w:r>
          </w:p>
        </w:tc>
        <w:tc>
          <w:tcPr>
            <w:tcW w:w="851" w:type="dxa"/>
          </w:tcPr>
          <w:p w:rsidR="000D448D" w:rsidRPr="006017CE" w:rsidRDefault="000D448D" w:rsidP="00CF1C2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250</w:t>
            </w:r>
          </w:p>
        </w:tc>
      </w:tr>
    </w:tbl>
    <w:p w:rsidR="000D448D" w:rsidRPr="006017CE" w:rsidRDefault="000D448D" w:rsidP="000D44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0D448D" w:rsidRPr="006017CE" w:rsidRDefault="000D448D" w:rsidP="000D44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0D448D" w:rsidRPr="006017CE" w:rsidRDefault="000D448D" w:rsidP="000D448D">
      <w:pPr>
        <w:bidi/>
        <w:jc w:val="center"/>
        <w:rPr>
          <w:rFonts w:cs="Monotype Koufi"/>
          <w:sz w:val="36"/>
          <w:szCs w:val="36"/>
          <w:rtl/>
        </w:rPr>
      </w:pPr>
    </w:p>
    <w:p w:rsidR="000D448D" w:rsidRPr="006017CE" w:rsidRDefault="000D448D" w:rsidP="000D448D">
      <w:pPr>
        <w:bidi/>
        <w:jc w:val="center"/>
        <w:rPr>
          <w:rFonts w:cs="Monotype Koufi"/>
          <w:sz w:val="36"/>
          <w:szCs w:val="36"/>
        </w:rPr>
      </w:pPr>
    </w:p>
    <w:p w:rsidR="000D448D" w:rsidRDefault="000D448D" w:rsidP="000D448D">
      <w:pPr>
        <w:bidi/>
        <w:jc w:val="center"/>
        <w:rPr>
          <w:rFonts w:cs="Monotype Koufi"/>
          <w:sz w:val="36"/>
          <w:szCs w:val="3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8D"/>
    <w:rsid w:val="000D448D"/>
    <w:rsid w:val="002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3CC02-622D-40C2-B53E-7CB25A09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48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BP"/>
    <w:basedOn w:val="Normal"/>
    <w:uiPriority w:val="34"/>
    <w:qFormat/>
    <w:rsid w:val="000D44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character" w:styleId="Strong">
    <w:name w:val="Strong"/>
    <w:basedOn w:val="DefaultParagraphFont"/>
    <w:uiPriority w:val="22"/>
    <w:qFormat/>
    <w:rsid w:val="000D4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SACC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2022-11-10T17:50:00Z</dcterms:created>
  <dcterms:modified xsi:type="dcterms:W3CDTF">2022-11-10T17:50:00Z</dcterms:modified>
</cp:coreProperties>
</file>