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67" w:rsidRPr="00367298" w:rsidRDefault="00831C67" w:rsidP="00831C67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rtl/>
          <w:lang w:bidi="ar-LB"/>
        </w:rPr>
      </w:pPr>
      <w:r w:rsidRPr="00367298">
        <w:rPr>
          <w:rFonts w:asciiTheme="majorBidi" w:hAnsiTheme="majorBidi" w:cs="AL-Battar" w:hint="cs"/>
          <w:sz w:val="48"/>
          <w:szCs w:val="48"/>
          <w:rtl/>
          <w:lang w:bidi="ar-LB"/>
        </w:rPr>
        <w:t>محتويات المجلة</w:t>
      </w:r>
    </w:p>
    <w:p w:rsidR="00831C67" w:rsidRPr="00367298" w:rsidRDefault="00831C67" w:rsidP="00831C67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73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3672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كلمة رئيس التحرير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3672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كلمات رسمية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17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  <w:t>كلمة فخامة رئيس الجمهورية بمناسبة</w:t>
            </w:r>
            <w:r w:rsidRPr="0036729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التحضيرات لذكرى مئوية إعلان لبنان الكبير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19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  <w:t>كلمة فخامة رئيس الجمهورية في الجمعية العامة للأمم المتحدة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22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  <w:t xml:space="preserve">كلمة العميد د. كميل حبيب في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حفل التخرّج السنوي 2018- 2019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28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  <w:t xml:space="preserve">كلمة العميد د. كميل حبيب في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العشاء السنوي لكلية الحقوق 2018-2019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31</w:t>
            </w:r>
          </w:p>
        </w:tc>
      </w:tr>
      <w:tr w:rsidR="00831C67" w:rsidRPr="00367298" w:rsidTr="006A6814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831C67" w:rsidRPr="00367298" w:rsidTr="006A6814">
        <w:tc>
          <w:tcPr>
            <w:tcW w:w="6459" w:type="dxa"/>
          </w:tcPr>
          <w:p w:rsidR="00831C67" w:rsidRPr="00367298" w:rsidRDefault="00831C67" w:rsidP="006A681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LB"/>
              </w:rPr>
            </w:pPr>
            <w:r w:rsidRPr="003672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LB"/>
              </w:rPr>
              <w:t>القسم الأول: دراسات في القانون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35</w:t>
            </w:r>
          </w:p>
        </w:tc>
      </w:tr>
      <w:tr w:rsidR="00831C67" w:rsidRPr="00367298" w:rsidTr="006A6814">
        <w:tc>
          <w:tcPr>
            <w:tcW w:w="6459" w:type="dxa"/>
          </w:tcPr>
          <w:p w:rsidR="00831C67" w:rsidRPr="00367298" w:rsidRDefault="00831C67" w:rsidP="006A6814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د. هيثم فضل الله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،</w:t>
            </w:r>
            <w:r w:rsidRPr="003672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أشكال المفاوضات التعاقدية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37</w:t>
            </w:r>
          </w:p>
        </w:tc>
      </w:tr>
      <w:tr w:rsidR="00831C67" w:rsidRPr="00367298" w:rsidTr="006A6814">
        <w:tc>
          <w:tcPr>
            <w:tcW w:w="6459" w:type="dxa"/>
          </w:tcPr>
          <w:p w:rsidR="00831C67" w:rsidRPr="00367298" w:rsidRDefault="00831C67" w:rsidP="006A6814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د. أشرف رمال، المسؤولية المسلكية للطبيب بين التشريع والقضاء (دراسة قانونية مقارنة)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66</w:t>
            </w:r>
          </w:p>
        </w:tc>
      </w:tr>
      <w:tr w:rsidR="00831C67" w:rsidRPr="00367298" w:rsidTr="006A6814">
        <w:tc>
          <w:tcPr>
            <w:tcW w:w="6459" w:type="dxa"/>
          </w:tcPr>
          <w:p w:rsidR="00831C67" w:rsidRPr="00367298" w:rsidRDefault="00831C67" w:rsidP="006A6814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  <w:t xml:space="preserve">د.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هانيا محمد علي فقيه،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ح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رية  الرأي والتعبير على الإنترنت على ضوء القانون والإجتهاد اللبناني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78</w:t>
            </w:r>
          </w:p>
        </w:tc>
      </w:tr>
      <w:tr w:rsidR="00831C67" w:rsidRPr="00367298" w:rsidTr="006A6814">
        <w:tc>
          <w:tcPr>
            <w:tcW w:w="6459" w:type="dxa"/>
          </w:tcPr>
          <w:p w:rsidR="00831C67" w:rsidRPr="00367298" w:rsidRDefault="00831C67" w:rsidP="006A6814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eastAsiaTheme="majorEastAsia" w:hAnsiTheme="majorBidi" w:cstheme="majorBidi"/>
                <w:kern w:val="24"/>
                <w:sz w:val="28"/>
                <w:szCs w:val="28"/>
                <w:rtl/>
                <w:lang w:bidi="ar-LB"/>
              </w:rPr>
              <w:t xml:space="preserve">د. نجاة جرجس جدعون،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سلطان النّصّ الجزائيّ من حيث المكان</w:t>
            </w:r>
            <w:r w:rsidRPr="00367298">
              <w:rPr>
                <w:rFonts w:asciiTheme="majorBidi" w:eastAsiaTheme="majorEastAsia" w:hAnsiTheme="majorBidi" w:cstheme="majorBidi"/>
                <w:kern w:val="24"/>
                <w:sz w:val="28"/>
                <w:szCs w:val="28"/>
                <w:rtl/>
                <w:lang w:bidi="ar-LB"/>
              </w:rPr>
              <w:t xml:space="preserve"> في ضوء المبادئ والنّتائج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108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pacing w:val="5"/>
                <w:kern w:val="28"/>
                <w:sz w:val="28"/>
                <w:szCs w:val="28"/>
                <w:rtl/>
                <w:lang w:val="fr-FR" w:eastAsia="it-IT" w:bidi="ar-DZ"/>
              </w:rPr>
            </w:pPr>
            <w:r w:rsidRPr="00367298">
              <w:rPr>
                <w:rFonts w:asciiTheme="majorBidi" w:eastAsia="Times New Roman" w:hAnsiTheme="majorBidi" w:cstheme="majorBidi"/>
                <w:spacing w:val="5"/>
                <w:kern w:val="28"/>
                <w:sz w:val="28"/>
                <w:szCs w:val="28"/>
                <w:rtl/>
                <w:lang w:val="fr-FR" w:eastAsia="it-IT" w:bidi="ar-DZ"/>
              </w:rPr>
              <w:t>د. شنة زواوي، مسألة الأولوية الدستورية في الجزائر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139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pacing w:val="5"/>
                <w:kern w:val="28"/>
                <w:sz w:val="28"/>
                <w:szCs w:val="28"/>
                <w:rtl/>
                <w:lang w:val="fr-FR" w:eastAsia="it-IT" w:bidi="ar-MA"/>
              </w:rPr>
            </w:pPr>
            <w:r w:rsidRPr="00367298">
              <w:rPr>
                <w:rFonts w:asciiTheme="majorBidi" w:eastAsia="Times New Roman" w:hAnsiTheme="majorBidi" w:cstheme="majorBidi"/>
                <w:spacing w:val="5"/>
                <w:kern w:val="28"/>
                <w:sz w:val="28"/>
                <w:szCs w:val="28"/>
                <w:rtl/>
                <w:lang w:val="fr-FR" w:eastAsia="it-IT" w:bidi="ar-MA"/>
              </w:rPr>
              <w:t>د. محمد أمزيان،  دور القضاء الإستعجالي المغربي  في ضمان حق تمدرس المحضون ضحية النزاعات الأسرية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156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Edgard </w:t>
            </w:r>
            <w:proofErr w:type="spellStart"/>
            <w:r w:rsidRPr="0036729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Abawatt</w:t>
            </w:r>
            <w:proofErr w:type="spellEnd"/>
            <w:r w:rsidRPr="0036729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.,Constitutionnalité et islamité des lois en Égypte et en République Islamique d'Iran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175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spellStart"/>
            <w:r w:rsidRPr="00367298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lastRenderedPageBreak/>
              <w:t>Israa</w:t>
            </w:r>
            <w:proofErr w:type="spellEnd"/>
            <w:r w:rsidRPr="00367298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67298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>Bazzi</w:t>
            </w:r>
            <w:proofErr w:type="spellEnd"/>
            <w:r w:rsidRPr="00367298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>, Le Nouveau Schéma des marchés financiers au Liban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240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3672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الثاني: در</w:t>
            </w:r>
            <w:r w:rsidRPr="003672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ا</w:t>
            </w:r>
            <w:r w:rsidRPr="003672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سات في العلوم السياسية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269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ليلى نقولا، الاستراتيجيات "الكبرى" للصين وروسيا والولايات المتحدة: دراسة مقارنة 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271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د. جوزف رزق الله، قرار مجلس الأمن الدولي رقم 1373 والحريات العامة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302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جنا ابو صالح، التغير المناخي وادارة الكوارث الطبيعية في الدول العربية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327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د. سونيا سليم البيطار ، نحو جامعة وطنية منتجة وفاعلة: الواقع والمتطلبات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360</w:t>
            </w:r>
          </w:p>
        </w:tc>
      </w:tr>
      <w:tr w:rsidR="00831C67" w:rsidRPr="00367298" w:rsidTr="006A6814">
        <w:trPr>
          <w:trHeight w:val="299"/>
        </w:trPr>
        <w:tc>
          <w:tcPr>
            <w:tcW w:w="6459" w:type="dxa"/>
          </w:tcPr>
          <w:p w:rsidR="00831C67" w:rsidRPr="00367298" w:rsidRDefault="00831C67" w:rsidP="006A681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معتز قفيشة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الفساد السياسي: 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مقاربات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المفهوم ومنهج</w:t>
            </w:r>
            <w:r w:rsidRPr="0036729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القياس</w:t>
            </w:r>
          </w:p>
        </w:tc>
        <w:tc>
          <w:tcPr>
            <w:tcW w:w="1277" w:type="dxa"/>
          </w:tcPr>
          <w:p w:rsidR="00831C67" w:rsidRPr="00367298" w:rsidRDefault="00831C67" w:rsidP="006A681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404</w:t>
            </w:r>
          </w:p>
        </w:tc>
      </w:tr>
    </w:tbl>
    <w:p w:rsidR="00831C67" w:rsidRPr="00367298" w:rsidRDefault="00831C67" w:rsidP="00831C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831C67" w:rsidRPr="00367298" w:rsidRDefault="00831C67" w:rsidP="00831C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831C67" w:rsidRPr="00367298" w:rsidRDefault="00831C67" w:rsidP="00831C67">
      <w:pPr>
        <w:bidi/>
        <w:jc w:val="center"/>
        <w:rPr>
          <w:rFonts w:cs="Monotype Koufi"/>
          <w:sz w:val="36"/>
          <w:szCs w:val="36"/>
          <w:rtl/>
        </w:rPr>
      </w:pPr>
    </w:p>
    <w:p w:rsidR="00831C67" w:rsidRPr="00367298" w:rsidRDefault="00831C67" w:rsidP="00831C67">
      <w:pPr>
        <w:bidi/>
        <w:jc w:val="center"/>
        <w:rPr>
          <w:rFonts w:cs="Monotype Koufi"/>
          <w:sz w:val="36"/>
          <w:szCs w:val="36"/>
          <w:rtl/>
        </w:rPr>
      </w:pPr>
    </w:p>
    <w:p w:rsidR="00831C67" w:rsidRPr="00367298" w:rsidRDefault="00831C67" w:rsidP="00831C67">
      <w:pPr>
        <w:bidi/>
        <w:spacing w:after="0" w:line="240" w:lineRule="auto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7"/>
    <w:rsid w:val="00282896"/>
    <w:rsid w:val="008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944E1-E4B8-44E9-8F2B-6C4A016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SACC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2022-11-10T17:51:00Z</dcterms:created>
  <dcterms:modified xsi:type="dcterms:W3CDTF">2022-11-10T17:51:00Z</dcterms:modified>
</cp:coreProperties>
</file>