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2969" w:type="dxa"/>
        <w:tblLook w:val="04A0" w:firstRow="1" w:lastRow="0" w:firstColumn="1" w:lastColumn="0" w:noHBand="0" w:noVBand="1"/>
      </w:tblPr>
      <w:tblGrid>
        <w:gridCol w:w="4387"/>
      </w:tblGrid>
      <w:tr w:rsidR="006B730C" w:rsidRPr="006A7F0F" w:rsidTr="001C6565">
        <w:tc>
          <w:tcPr>
            <w:tcW w:w="4387" w:type="dxa"/>
            <w:tcBorders>
              <w:bottom w:val="single" w:sz="4" w:space="0" w:color="auto"/>
              <w:right w:val="single" w:sz="4" w:space="0" w:color="auto"/>
            </w:tcBorders>
          </w:tcPr>
          <w:p w:rsidR="006B730C" w:rsidRPr="006A7F0F" w:rsidRDefault="006B730C" w:rsidP="001C6565">
            <w:pPr>
              <w:bidi/>
              <w:spacing w:after="0" w:line="240" w:lineRule="auto"/>
              <w:ind w:right="318"/>
              <w:jc w:val="right"/>
              <w:rPr>
                <w:sz w:val="48"/>
                <w:szCs w:val="48"/>
                <w:rtl/>
              </w:rPr>
            </w:pPr>
            <w:r w:rsidRPr="006A7F0F">
              <w:rPr>
                <w:rFonts w:asciiTheme="majorBidi" w:hAnsiTheme="majorBidi" w:cs="AlWatanHeadlines-Bold"/>
                <w:noProof/>
                <w:sz w:val="48"/>
                <w:szCs w:val="4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24822" wp14:editId="35E6333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-98</wp:posOffset>
                      </wp:positionV>
                      <wp:extent cx="0" cy="622300"/>
                      <wp:effectExtent l="0" t="0" r="381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7C9D6B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0" to="4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6A7F0F">
              <w:rPr>
                <w:rFonts w:asciiTheme="majorBidi" w:hAnsiTheme="majorBidi" w:cs="AlWatanHeadlines-Bold" w:hint="cs"/>
                <w:sz w:val="48"/>
                <w:szCs w:val="48"/>
                <w:rtl/>
                <w:lang w:bidi="ar-LB"/>
              </w:rPr>
              <w:t>محتويــــات الـمجلــــة</w:t>
            </w:r>
          </w:p>
        </w:tc>
      </w:tr>
    </w:tbl>
    <w:p w:rsidR="006B730C" w:rsidRPr="00812222" w:rsidRDefault="006B730C" w:rsidP="006B730C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74"/>
        <w:gridCol w:w="842"/>
      </w:tblGrid>
      <w:tr w:rsidR="006B730C" w:rsidRPr="006A7F0F" w:rsidTr="001C6565">
        <w:tc>
          <w:tcPr>
            <w:tcW w:w="5945" w:type="dxa"/>
          </w:tcPr>
          <w:p w:rsidR="006B730C" w:rsidRPr="006A7F0F" w:rsidRDefault="006B730C" w:rsidP="001C6565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كلمة رئيس التّحرير</w:t>
            </w:r>
          </w:p>
        </w:tc>
        <w:tc>
          <w:tcPr>
            <w:tcW w:w="574" w:type="dxa"/>
          </w:tcPr>
          <w:p w:rsidR="006B730C" w:rsidRPr="006A7F0F" w:rsidRDefault="006B730C" w:rsidP="001C6565">
            <w:pPr>
              <w:bidi/>
              <w:spacing w:before="40"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</w:tcPr>
          <w:p w:rsidR="006B730C" w:rsidRPr="006A7F0F" w:rsidRDefault="006B730C" w:rsidP="001C6565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7</w:t>
            </w:r>
          </w:p>
        </w:tc>
      </w:tr>
    </w:tbl>
    <w:p w:rsidR="006B730C" w:rsidRPr="004E2B8B" w:rsidRDefault="006B730C" w:rsidP="006B730C">
      <w:pPr>
        <w:bidi/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2"/>
        <w:gridCol w:w="567"/>
        <w:gridCol w:w="842"/>
      </w:tblGrid>
      <w:tr w:rsidR="006B730C" w:rsidRPr="006A7F0F" w:rsidTr="001C6565">
        <w:tc>
          <w:tcPr>
            <w:tcW w:w="5952" w:type="dxa"/>
            <w:tcBorders>
              <w:bottom w:val="single" w:sz="4" w:space="0" w:color="auto"/>
            </w:tcBorders>
          </w:tcPr>
          <w:p w:rsidR="006B730C" w:rsidRPr="006A7F0F" w:rsidRDefault="006B730C" w:rsidP="001C6565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القسم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Pr="006A7F0F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LB"/>
              </w:rPr>
              <w:t>الأول</w:t>
            </w: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: دراسات في القانون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الخاص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730C" w:rsidRPr="006A7F0F" w:rsidRDefault="006B730C" w:rsidP="001C6565">
            <w:pPr>
              <w:bidi/>
              <w:spacing w:before="40"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6B730C" w:rsidRPr="006A7F0F" w:rsidRDefault="006B730C" w:rsidP="001C6565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11</w:t>
            </w:r>
          </w:p>
        </w:tc>
      </w:tr>
      <w:tr w:rsidR="006B730C" w:rsidRPr="006A7F0F" w:rsidTr="001C6565"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:rsidR="006B730C" w:rsidRPr="00A271C0" w:rsidRDefault="006B730C" w:rsidP="006B730C">
            <w:pPr>
              <w:pStyle w:val="ListParagraph"/>
              <w:numPr>
                <w:ilvl w:val="0"/>
                <w:numId w:val="2"/>
              </w:numPr>
              <w:bidi/>
              <w:spacing w:before="120" w:after="80" w:line="264" w:lineRule="auto"/>
              <w:ind w:left="448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روزالين مبارك،  "القضاء على التمييز في العمل والإستخدام"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</w:t>
            </w: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مبدأ أساسي في العمل</w:t>
            </w:r>
          </w:p>
          <w:p w:rsidR="006B730C" w:rsidRPr="00A271C0" w:rsidRDefault="006B730C" w:rsidP="006B730C">
            <w:pPr>
              <w:pStyle w:val="ListParagraph"/>
              <w:numPr>
                <w:ilvl w:val="0"/>
                <w:numId w:val="2"/>
              </w:numPr>
              <w:bidi/>
              <w:spacing w:after="80" w:line="264" w:lineRule="auto"/>
              <w:ind w:left="448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لبنى عمر مسقاوي، أثر انهيار النقد اللبناني على الالتزامات العقدية المنظمة بالعملة الأجنبية</w:t>
            </w:r>
            <w:r w:rsidRPr="00A271C0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</w:t>
            </w:r>
          </w:p>
          <w:p w:rsidR="006B730C" w:rsidRDefault="006B730C" w:rsidP="006B730C">
            <w:pPr>
              <w:pStyle w:val="ListParagraph"/>
              <w:numPr>
                <w:ilvl w:val="0"/>
                <w:numId w:val="2"/>
              </w:numPr>
              <w:bidi/>
              <w:spacing w:after="80" w:line="264" w:lineRule="auto"/>
              <w:ind w:left="448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عاصم صعب، المسائل المعترضة أمام المحكمة الجزائية</w:t>
            </w:r>
          </w:p>
          <w:p w:rsidR="006B730C" w:rsidRPr="00AC12DF" w:rsidRDefault="006B730C" w:rsidP="006B730C">
            <w:pPr>
              <w:pStyle w:val="ListParagraph"/>
              <w:numPr>
                <w:ilvl w:val="0"/>
                <w:numId w:val="2"/>
              </w:numPr>
              <w:bidi/>
              <w:spacing w:after="80" w:line="264" w:lineRule="auto"/>
              <w:ind w:left="459" w:hanging="408"/>
              <w:contextualSpacing w:val="0"/>
              <w:jc w:val="both"/>
              <w:rPr>
                <w:rFonts w:ascii="Simplified Arabic" w:hAnsi="Simplified Arabic" w:cs="Simplified Arabic"/>
                <w:w w:val="96"/>
                <w:sz w:val="26"/>
                <w:szCs w:val="26"/>
                <w:rtl/>
                <w:lang w:bidi="ar-LB"/>
              </w:rPr>
            </w:pPr>
            <w:r w:rsidRPr="00AC12DF">
              <w:rPr>
                <w:rFonts w:ascii="Simplified Arabic" w:hAnsi="Simplified Arabic" w:cs="Simplified Arabic" w:hint="cs"/>
                <w:w w:val="96"/>
                <w:sz w:val="26"/>
                <w:szCs w:val="26"/>
                <w:rtl/>
                <w:lang w:bidi="ar-LB"/>
              </w:rPr>
              <w:t xml:space="preserve">د. منصور السعيد ود. عادل المياس، </w:t>
            </w:r>
            <w:r w:rsidRPr="00AC12DF">
              <w:rPr>
                <w:rFonts w:ascii="Simplified Arabic" w:hAnsi="Simplified Arabic" w:cs="Simplified Arabic"/>
                <w:w w:val="96"/>
                <w:sz w:val="26"/>
                <w:szCs w:val="26"/>
                <w:rtl/>
                <w:lang w:bidi="ar-LB"/>
              </w:rPr>
              <w:t>الطبيعة القانونية لشركة الشخص الواحد ومدى توافقها مع طبيعة الشركات التقليدية</w:t>
            </w:r>
            <w:r w:rsidRPr="00AC12DF">
              <w:rPr>
                <w:rFonts w:ascii="Simplified Arabic" w:hAnsi="Simplified Arabic" w:cs="Simplified Arabic" w:hint="cs"/>
                <w:w w:val="96"/>
                <w:sz w:val="26"/>
                <w:szCs w:val="26"/>
                <w:rtl/>
                <w:lang w:bidi="ar-LB"/>
              </w:rPr>
              <w:t xml:space="preserve"> - </w:t>
            </w:r>
            <w:r w:rsidRPr="00AC12DF">
              <w:rPr>
                <w:rFonts w:ascii="Simplified Arabic" w:hAnsi="Simplified Arabic" w:cs="Simplified Arabic"/>
                <w:w w:val="96"/>
                <w:sz w:val="26"/>
                <w:szCs w:val="26"/>
                <w:rtl/>
                <w:lang w:bidi="ar-LB"/>
              </w:rPr>
              <w:t>دراسة مقارنة</w:t>
            </w:r>
          </w:p>
          <w:p w:rsidR="006B730C" w:rsidRPr="00A271C0" w:rsidRDefault="006B730C" w:rsidP="006B730C">
            <w:pPr>
              <w:pStyle w:val="ListParagraph"/>
              <w:numPr>
                <w:ilvl w:val="0"/>
                <w:numId w:val="2"/>
              </w:numPr>
              <w:bidi/>
              <w:spacing w:after="80" w:line="264" w:lineRule="auto"/>
              <w:ind w:left="448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هند فائز احمد الحسون،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 </w:t>
            </w: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الأحكام الخاصة باندماج الشركات في ضوء القانون الدولي الخاص</w:t>
            </w:r>
          </w:p>
          <w:p w:rsidR="006B730C" w:rsidRPr="00A271C0" w:rsidRDefault="006B730C" w:rsidP="006B730C">
            <w:pPr>
              <w:pStyle w:val="ListParagraph"/>
              <w:numPr>
                <w:ilvl w:val="0"/>
                <w:numId w:val="2"/>
              </w:numPr>
              <w:bidi/>
              <w:spacing w:after="80" w:line="264" w:lineRule="auto"/>
              <w:ind w:left="448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طايل الشياب ووضحى حميد البلوشي، التدابير الخاصة المفروضة على الاحداث الجانحين والمشردين في التشريع الاماراتي -  مقارنة مع التشريع الاردني</w:t>
            </w:r>
            <w:r w:rsidRPr="00A271C0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</w:t>
            </w:r>
          </w:p>
          <w:p w:rsidR="006B730C" w:rsidRDefault="006B730C" w:rsidP="006B730C">
            <w:pPr>
              <w:pStyle w:val="ListParagraph"/>
              <w:numPr>
                <w:ilvl w:val="0"/>
                <w:numId w:val="2"/>
              </w:numPr>
              <w:bidi/>
              <w:spacing w:after="80" w:line="264" w:lineRule="auto"/>
              <w:ind w:left="448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هاله نصار، تمييز الإفلاس عن الإعسار في التشريعات الإماراتية</w:t>
            </w:r>
          </w:p>
          <w:p w:rsidR="006B730C" w:rsidRPr="00A271C0" w:rsidRDefault="006B730C" w:rsidP="006B730C">
            <w:pPr>
              <w:pStyle w:val="ListParagraph"/>
              <w:numPr>
                <w:ilvl w:val="0"/>
                <w:numId w:val="2"/>
              </w:numPr>
              <w:bidi/>
              <w:spacing w:after="80" w:line="264" w:lineRule="auto"/>
              <w:ind w:left="448" w:hanging="284"/>
              <w:contextualSpacing w:val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92383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أياد البردان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، </w:t>
            </w:r>
            <w:r w:rsidRPr="0092383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رقابة الهيئة العامة لمحكمة التمييز بصدد الأحكام الصادرة عن المحاكم الروحية والشرعية والمذهبية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730C" w:rsidRPr="006A7F0F" w:rsidRDefault="006B730C" w:rsidP="001C6565">
            <w:pPr>
              <w:bidi/>
              <w:spacing w:after="12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6B730C" w:rsidRPr="006A7F0F" w:rsidRDefault="006B730C" w:rsidP="001C6565">
            <w:pPr>
              <w:bidi/>
              <w:spacing w:before="120" w:after="8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13</w:t>
            </w:r>
          </w:p>
          <w:p w:rsidR="006B730C" w:rsidRPr="006A7F0F" w:rsidRDefault="006B730C" w:rsidP="001C6565">
            <w:pPr>
              <w:bidi/>
              <w:spacing w:after="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6B730C" w:rsidRPr="006A7F0F" w:rsidRDefault="006B730C" w:rsidP="001C6565">
            <w:pPr>
              <w:bidi/>
              <w:spacing w:after="8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79</w:t>
            </w:r>
          </w:p>
          <w:p w:rsidR="006B730C" w:rsidRPr="006A7F0F" w:rsidRDefault="006B730C" w:rsidP="001C6565">
            <w:pPr>
              <w:bidi/>
              <w:spacing w:after="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6B730C" w:rsidRPr="006A7F0F" w:rsidRDefault="006B730C" w:rsidP="001C6565">
            <w:pPr>
              <w:bidi/>
              <w:spacing w:after="8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89</w:t>
            </w:r>
          </w:p>
          <w:p w:rsidR="006B730C" w:rsidRDefault="006B730C" w:rsidP="001C6565">
            <w:pPr>
              <w:bidi/>
              <w:spacing w:after="8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134</w:t>
            </w:r>
          </w:p>
          <w:p w:rsidR="006B730C" w:rsidRDefault="006B730C" w:rsidP="001C6565">
            <w:pPr>
              <w:bidi/>
              <w:spacing w:after="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6B730C" w:rsidRDefault="006B730C" w:rsidP="001C6565">
            <w:pPr>
              <w:bidi/>
              <w:spacing w:after="8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188</w:t>
            </w:r>
          </w:p>
          <w:p w:rsidR="006B730C" w:rsidRDefault="006B730C" w:rsidP="001C6565">
            <w:pPr>
              <w:bidi/>
              <w:spacing w:after="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6B730C" w:rsidRDefault="006B730C" w:rsidP="001C6565">
            <w:pPr>
              <w:bidi/>
              <w:spacing w:after="8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199</w:t>
            </w:r>
          </w:p>
          <w:p w:rsidR="006B730C" w:rsidRDefault="006B730C" w:rsidP="001C6565">
            <w:pPr>
              <w:bidi/>
              <w:spacing w:after="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6B730C" w:rsidRDefault="006B730C" w:rsidP="001C6565">
            <w:pPr>
              <w:bidi/>
              <w:spacing w:after="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6B730C" w:rsidRDefault="006B730C" w:rsidP="001C6565">
            <w:pPr>
              <w:bidi/>
              <w:spacing w:after="8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221</w:t>
            </w:r>
          </w:p>
          <w:p w:rsidR="006B730C" w:rsidRPr="006A7F0F" w:rsidRDefault="006B730C" w:rsidP="001C6565">
            <w:pPr>
              <w:bidi/>
              <w:spacing w:after="80" w:line="264" w:lineRule="auto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249</w:t>
            </w:r>
          </w:p>
        </w:tc>
      </w:tr>
    </w:tbl>
    <w:p w:rsidR="006B730C" w:rsidRPr="00AC12DF" w:rsidRDefault="006B730C" w:rsidP="006B730C">
      <w:pPr>
        <w:bidi/>
        <w:spacing w:after="0" w:line="240" w:lineRule="auto"/>
        <w:jc w:val="center"/>
        <w:rPr>
          <w:rFonts w:ascii="Simplified Arabic" w:hAnsi="Simplified Arabic" w:cs="Simplified Arabic"/>
          <w:sz w:val="14"/>
          <w:szCs w:val="14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67"/>
        <w:gridCol w:w="849"/>
      </w:tblGrid>
      <w:tr w:rsidR="006B730C" w:rsidRPr="006A7F0F" w:rsidTr="001C6565">
        <w:tc>
          <w:tcPr>
            <w:tcW w:w="5945" w:type="dxa"/>
            <w:tcBorders>
              <w:bottom w:val="single" w:sz="4" w:space="0" w:color="auto"/>
            </w:tcBorders>
          </w:tcPr>
          <w:p w:rsidR="006B730C" w:rsidRPr="006A7F0F" w:rsidRDefault="006B730C" w:rsidP="001C6565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 w:rsidRPr="006A7F0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  <w:t xml:space="preserve">القسم الثاني: دراسات في </w:t>
            </w:r>
            <w:r w:rsidRPr="006A7F0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القانون العام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B730C" w:rsidRPr="006A7F0F" w:rsidRDefault="006B730C" w:rsidP="001C6565">
            <w:pPr>
              <w:bidi/>
              <w:spacing w:before="40"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B730C" w:rsidRPr="006A7F0F" w:rsidRDefault="006B730C" w:rsidP="001C6565">
            <w:pPr>
              <w:bidi/>
              <w:spacing w:before="40" w:after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B"/>
              </w:rPr>
              <w:t>285</w:t>
            </w:r>
          </w:p>
        </w:tc>
      </w:tr>
      <w:tr w:rsidR="006B730C" w:rsidRPr="006A7F0F" w:rsidTr="001C6565"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</w:tcPr>
          <w:p w:rsidR="006B730C" w:rsidRDefault="006B730C" w:rsidP="006B730C">
            <w:pPr>
              <w:numPr>
                <w:ilvl w:val="0"/>
                <w:numId w:val="1"/>
              </w:numPr>
              <w:bidi/>
              <w:spacing w:before="120" w:after="120"/>
              <w:ind w:left="448" w:hanging="284"/>
              <w:jc w:val="both"/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زياد مكنّا، كاشفو الفساد: حماية وحوافز في النصوص وإشكاليّات في التطبيق</w:t>
            </w:r>
            <w:r w:rsidRPr="00A271C0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</w:t>
            </w:r>
          </w:p>
          <w:p w:rsidR="006B730C" w:rsidRPr="00A271C0" w:rsidRDefault="006B730C" w:rsidP="006B730C">
            <w:pPr>
              <w:numPr>
                <w:ilvl w:val="0"/>
                <w:numId w:val="1"/>
              </w:numPr>
              <w:bidi/>
              <w:spacing w:before="120" w:after="120"/>
              <w:ind w:left="448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D30664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lastRenderedPageBreak/>
              <w:t>د. سامي علوية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 xml:space="preserve">، </w:t>
            </w:r>
            <w:r w:rsidRPr="00D30664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النصاب بين العدد والمصطلح المستخدم من المشرع الدستوري... وتدابير الضرورة</w:t>
            </w:r>
          </w:p>
          <w:p w:rsidR="006B730C" w:rsidRPr="00A271C0" w:rsidRDefault="006B730C" w:rsidP="006B730C">
            <w:pPr>
              <w:numPr>
                <w:ilvl w:val="0"/>
                <w:numId w:val="1"/>
              </w:numPr>
              <w:bidi/>
              <w:spacing w:after="120"/>
              <w:ind w:left="451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عباس يوسف جابر، التقاضي عن بُعد  وأثره على حقوق الإنسان (لبنان نموذجاً)</w:t>
            </w:r>
          </w:p>
          <w:p w:rsidR="006B730C" w:rsidRPr="00A271C0" w:rsidRDefault="006B730C" w:rsidP="006B730C">
            <w:pPr>
              <w:numPr>
                <w:ilvl w:val="0"/>
                <w:numId w:val="1"/>
              </w:numPr>
              <w:bidi/>
              <w:spacing w:after="120"/>
              <w:ind w:left="451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هاني حمزة، مدى كفاية النصوص البيئية والغذائية في ضبط تداول السلع الغذائية</w:t>
            </w:r>
            <w:r w:rsidRPr="00A271C0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</w:t>
            </w:r>
          </w:p>
          <w:p w:rsidR="006B730C" w:rsidRPr="00A271C0" w:rsidRDefault="006B730C" w:rsidP="006B730C">
            <w:pPr>
              <w:numPr>
                <w:ilvl w:val="0"/>
                <w:numId w:val="1"/>
              </w:numPr>
              <w:bidi/>
              <w:spacing w:after="120"/>
              <w:ind w:left="451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حسن سليم ود. عبد الملك الريماوي، سلطات القاضي الدستوري في التشريع الفلسطيني</w:t>
            </w:r>
          </w:p>
          <w:p w:rsidR="006B730C" w:rsidRPr="00A271C0" w:rsidRDefault="006B730C" w:rsidP="006B730C">
            <w:pPr>
              <w:numPr>
                <w:ilvl w:val="0"/>
                <w:numId w:val="1"/>
              </w:numPr>
              <w:bidi/>
              <w:spacing w:after="120"/>
              <w:ind w:left="451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أحمد محمد الحسن، التفتيش الجمركي في القانون القطري</w:t>
            </w:r>
            <w:r w:rsidRPr="00A271C0">
              <w:rPr>
                <w:rFonts w:ascii="Simplified Arabic" w:hAnsi="Simplified Arabic" w:cs="Simplified Arabic"/>
                <w:sz w:val="26"/>
                <w:szCs w:val="26"/>
                <w:lang w:bidi="ar-LB"/>
              </w:rPr>
              <w:t xml:space="preserve"> </w:t>
            </w:r>
          </w:p>
          <w:p w:rsidR="006B730C" w:rsidRPr="00A271C0" w:rsidRDefault="006B730C" w:rsidP="006B730C">
            <w:pPr>
              <w:numPr>
                <w:ilvl w:val="0"/>
                <w:numId w:val="1"/>
              </w:numPr>
              <w:bidi/>
              <w:spacing w:after="120"/>
              <w:ind w:left="451" w:hanging="284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 w:rsidRPr="00A271C0"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  <w:t>د. جان عليه، تعليق على قرار المجلس الدستوري رقم 5 /2021 الصادر في الطعن بقانون الشراء العام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730C" w:rsidRPr="006A7F0F" w:rsidRDefault="006B730C" w:rsidP="001C6565">
            <w:pPr>
              <w:bidi/>
              <w:spacing w:after="12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6B730C" w:rsidRPr="006A7F0F" w:rsidRDefault="006B730C" w:rsidP="001C6565">
            <w:pPr>
              <w:bidi/>
              <w:spacing w:before="120" w:after="12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287</w:t>
            </w:r>
          </w:p>
          <w:p w:rsidR="006B730C" w:rsidRDefault="006B730C" w:rsidP="001C6565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6B730C" w:rsidRPr="006A7F0F" w:rsidRDefault="006B730C" w:rsidP="001C6565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lastRenderedPageBreak/>
              <w:t>314</w:t>
            </w:r>
          </w:p>
          <w:p w:rsidR="006B730C" w:rsidRPr="006A7F0F" w:rsidRDefault="006B730C" w:rsidP="001C6565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6B730C" w:rsidRDefault="006B730C" w:rsidP="001C6565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339</w:t>
            </w:r>
          </w:p>
          <w:p w:rsidR="006B730C" w:rsidRPr="006A7F0F" w:rsidRDefault="006B730C" w:rsidP="001C6565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6B730C" w:rsidRDefault="006B730C" w:rsidP="001C6565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362</w:t>
            </w:r>
          </w:p>
          <w:p w:rsidR="006B730C" w:rsidRDefault="006B730C" w:rsidP="001C6565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6B730C" w:rsidRDefault="006B730C" w:rsidP="001C6565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417</w:t>
            </w:r>
          </w:p>
          <w:p w:rsidR="006B730C" w:rsidRDefault="006B730C" w:rsidP="001C6565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</w:p>
          <w:p w:rsidR="006B730C" w:rsidRDefault="006B730C" w:rsidP="001C6565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447</w:t>
            </w:r>
          </w:p>
          <w:p w:rsidR="006B730C" w:rsidRPr="006A7F0F" w:rsidRDefault="006B730C" w:rsidP="001C6565">
            <w:pPr>
              <w:bidi/>
              <w:spacing w:after="12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LB"/>
              </w:rPr>
              <w:t>469</w:t>
            </w:r>
          </w:p>
        </w:tc>
      </w:tr>
    </w:tbl>
    <w:p w:rsidR="006B730C" w:rsidRPr="006A7F0F" w:rsidRDefault="006B730C" w:rsidP="006B730C">
      <w:pPr>
        <w:bidi/>
        <w:spacing w:after="40" w:line="228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LB"/>
        </w:rPr>
      </w:pPr>
    </w:p>
    <w:p w:rsidR="006B730C" w:rsidRPr="006A7F0F" w:rsidRDefault="006B730C" w:rsidP="006B730C">
      <w:pPr>
        <w:spacing w:after="100" w:line="228" w:lineRule="auto"/>
        <w:rPr>
          <w:rFonts w:ascii="Simplified Arabic" w:eastAsia="AlWatanHeadlines-Bold" w:hAnsi="Simplified Arabic" w:cs="Simplified Arabic"/>
          <w:bCs/>
          <w:noProof/>
          <w:sz w:val="16"/>
          <w:szCs w:val="16"/>
        </w:rPr>
      </w:pPr>
    </w:p>
    <w:p w:rsidR="006B730C" w:rsidRPr="006A7F0F" w:rsidRDefault="006B730C" w:rsidP="006B730C">
      <w:pPr>
        <w:rPr>
          <w:rFonts w:ascii="AlWatanHeadlines-Bold" w:eastAsia="AlWatanHeadlines-Bold" w:hAnsi="AlWatanHeadlines-Bold" w:cs="AlWatanHeadlines-Bold"/>
          <w:bCs/>
          <w:noProof/>
          <w:sz w:val="12"/>
          <w:szCs w:val="12"/>
        </w:rPr>
      </w:pPr>
      <w:r w:rsidRPr="006A7F0F">
        <w:rPr>
          <w:rFonts w:ascii="AlWatanHeadlines-Bold" w:eastAsia="AlWatanHeadlines-Bold" w:hAnsi="AlWatanHeadlines-Bold" w:cs="AlWatanHeadlines-Bold"/>
          <w:bCs/>
          <w:noProof/>
          <w:sz w:val="12"/>
          <w:szCs w:val="12"/>
          <w:rtl/>
        </w:rPr>
        <w:br w:type="page"/>
      </w: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atanHeadlines-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5DFC"/>
    <w:multiLevelType w:val="hybridMultilevel"/>
    <w:tmpl w:val="A6D239BE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F1946"/>
    <w:multiLevelType w:val="hybridMultilevel"/>
    <w:tmpl w:val="710695E8"/>
    <w:lvl w:ilvl="0" w:tplc="3A3223D2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282896"/>
    <w:rsid w:val="006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77850-462E-4B5A-8D40-BB569542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730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List"/>
    <w:basedOn w:val="Normal"/>
    <w:link w:val="ListParagraphChar"/>
    <w:uiPriority w:val="34"/>
    <w:qFormat/>
    <w:rsid w:val="006B730C"/>
    <w:pPr>
      <w:ind w:left="720"/>
      <w:contextualSpacing/>
    </w:pPr>
  </w:style>
  <w:style w:type="character" w:customStyle="1" w:styleId="ListParagraphChar">
    <w:name w:val="List Paragraph Char"/>
    <w:aliases w:val="NumberedList Char"/>
    <w:link w:val="ListParagraph"/>
    <w:uiPriority w:val="34"/>
    <w:rsid w:val="006B730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1279</Characters>
  <Application>Microsoft Office Word</Application>
  <DocSecurity>0</DocSecurity>
  <Lines>10</Lines>
  <Paragraphs>2</Paragraphs>
  <ScaleCrop>false</ScaleCrop>
  <Company>SACC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2022-11-10T18:07:00Z</dcterms:created>
  <dcterms:modified xsi:type="dcterms:W3CDTF">2022-11-10T18:07:00Z</dcterms:modified>
</cp:coreProperties>
</file>