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5A" w:rsidRPr="0021215D" w:rsidRDefault="0070165A" w:rsidP="0070165A">
      <w:pPr>
        <w:bidi/>
        <w:spacing w:after="0" w:line="240" w:lineRule="auto"/>
        <w:jc w:val="center"/>
        <w:textAlignment w:val="baseline"/>
        <w:rPr>
          <w:rFonts w:ascii="Traditional Arabic" w:eastAsiaTheme="minorEastAsia" w:hAnsi="Traditional Arabic" w:cs="Traditional Arabic"/>
          <w:b/>
          <w:bCs/>
          <w:color w:val="000000" w:themeColor="text1"/>
          <w:kern w:val="24"/>
          <w:sz w:val="28"/>
          <w:szCs w:val="28"/>
          <w:rtl/>
          <w:lang w:bidi="ar-LB"/>
        </w:rPr>
      </w:pPr>
      <w:r w:rsidRPr="0021215D">
        <w:rPr>
          <w:rFonts w:ascii="Traditional Arabic" w:eastAsiaTheme="minorEastAsia" w:hAnsi="Traditional Arabic" w:cs="Traditional Arabic"/>
          <w:color w:val="000000" w:themeColor="text1"/>
          <w:kern w:val="24"/>
          <w:sz w:val="40"/>
          <w:szCs w:val="40"/>
          <w:rtl/>
          <w:lang w:bidi="ar-LB"/>
        </w:rPr>
        <w:t>فهرس</w:t>
      </w:r>
      <w:r>
        <w:rPr>
          <w:rFonts w:ascii="Traditional Arabic" w:eastAsiaTheme="minorEastAsia" w:hAnsi="Traditional Arabic" w:cs="Traditional Arabic" w:hint="cs"/>
          <w:color w:val="000000" w:themeColor="text1"/>
          <w:kern w:val="24"/>
          <w:sz w:val="40"/>
          <w:szCs w:val="40"/>
          <w:rtl/>
          <w:lang w:bidi="ar-LB"/>
        </w:rPr>
        <w:t xml:space="preserve"> العدد</w:t>
      </w:r>
    </w:p>
    <w:p w:rsidR="0070165A" w:rsidRPr="0021215D" w:rsidRDefault="0070165A" w:rsidP="0070165A">
      <w:pPr>
        <w:bidi/>
        <w:spacing w:after="0" w:line="240" w:lineRule="auto"/>
        <w:jc w:val="both"/>
        <w:textAlignment w:val="baseline"/>
        <w:rPr>
          <w:rFonts w:ascii="Traditional Arabic" w:eastAsiaTheme="minorEastAsia" w:hAnsi="Traditional Arabic" w:cs="Traditional Arabic"/>
          <w:b/>
          <w:bCs/>
          <w:color w:val="000000" w:themeColor="text1"/>
          <w:kern w:val="24"/>
          <w:sz w:val="28"/>
          <w:szCs w:val="28"/>
          <w:rtl/>
          <w:lang w:bidi="ar-LB"/>
        </w:rPr>
      </w:pPr>
    </w:p>
    <w:p w:rsidR="0070165A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كلمة رئيس التحرير</w:t>
      </w:r>
    </w:p>
    <w:p w:rsidR="0070165A" w:rsidRPr="00DF4A0B" w:rsidRDefault="0070165A" w:rsidP="0070165A">
      <w:pPr>
        <w:bidi/>
        <w:spacing w:line="240" w:lineRule="auto"/>
        <w:ind w:firstLine="720"/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</w:pPr>
      <w:r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البحث: </w:t>
      </w:r>
      <w:r w:rsidRPr="00DF4A0B">
        <w:rPr>
          <w:rFonts w:ascii="Traditional Arabic" w:hAnsi="Traditional Arabic" w:cs="Traditional Arabic"/>
          <w:b/>
          <w:bCs/>
          <w:sz w:val="44"/>
          <w:szCs w:val="44"/>
          <w:rtl/>
          <w:lang w:bidi="ar-LB"/>
        </w:rPr>
        <w:t>حقوق المرأة اللبنانية في الفضاء الجامعي</w:t>
      </w:r>
    </w:p>
    <w:p w:rsidR="0070165A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مقدمة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القسم الاول : وعي الطلاب لمسألة تمكين المرأة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الفصل الاول : المعرفة القانونية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الفقرة الاولى: حقوق المرأة في التشريعات الدولية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         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اولاً: الاعلان العالمي والعهود الدولي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ة لحقوق الانسان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 </w:t>
      </w:r>
      <w:r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ثانياً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>: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إتفاقية سيداو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الفقرة الثانية : حقوق المرأة في التشريعات الداخلية اللبنانية</w:t>
      </w:r>
    </w:p>
    <w:p w:rsidR="0070165A" w:rsidRPr="0021215D" w:rsidRDefault="0070165A" w:rsidP="0070165A">
      <w:p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اولاً: النصوص التي تضمن حقوق المرأة اللبنانية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    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ثانياً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>: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النصوص التي تميز بين الرجل والمرأة</w:t>
      </w:r>
    </w:p>
    <w:p w:rsidR="0070165A" w:rsidRPr="0021215D" w:rsidRDefault="0070165A" w:rsidP="0070165A">
      <w:pPr>
        <w:pStyle w:val="ListParagraph"/>
        <w:tabs>
          <w:tab w:val="right" w:pos="1107"/>
        </w:tabs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الفصل الثاني : الوعي الواقعي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الفقرة الاولى: مدى إدراك التمييز ضد المرأة وعوائق ضمان حقوقها                                                                                                                                         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أولا: إدراك التمييز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ضد المرأة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ثانياً: عوائق ضمان حقوقها </w:t>
      </w:r>
    </w:p>
    <w:p w:rsidR="0070165A" w:rsidRPr="0021215D" w:rsidRDefault="0070165A" w:rsidP="0070165A">
      <w:pPr>
        <w:pStyle w:val="ListParagraph"/>
        <w:tabs>
          <w:tab w:val="right" w:pos="1557"/>
        </w:tabs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الفقرة الثانية : نظرة الشباب للمرأة العاملة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أولا: عمل المرأة خارج المنزل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</w:p>
    <w:p w:rsidR="0070165A" w:rsidRPr="0021215D" w:rsidRDefault="0070165A" w:rsidP="0070165A">
      <w:p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ثانيا: تقاسم المسؤوليات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 </w:t>
      </w:r>
    </w:p>
    <w:p w:rsidR="0070165A" w:rsidRPr="0021215D" w:rsidRDefault="0070165A" w:rsidP="0070165A">
      <w:pPr>
        <w:tabs>
          <w:tab w:val="right" w:pos="657"/>
          <w:tab w:val="right" w:pos="747"/>
        </w:tabs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القسم الثاني : مساهمة الطلاب في مسألة تمكين المرأة</w:t>
      </w:r>
    </w:p>
    <w:p w:rsidR="0070165A" w:rsidRPr="0021215D" w:rsidRDefault="0070165A" w:rsidP="0070165A">
      <w:pPr>
        <w:tabs>
          <w:tab w:val="right" w:pos="1017"/>
          <w:tab w:val="right" w:pos="1107"/>
        </w:tabs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الفصل الاول: المساهمة العملية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الفقرة الاولى : الإطلاع على النشاطات الداعمة لحقوق المرأة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أولا:  نشاط الامم المتحدة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ثانياً: نشاط المجتمع الاهلي في لبنان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الفقرة الثانية : المشاركة في هذه النشاطات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</w:p>
    <w:p w:rsidR="0070165A" w:rsidRPr="0021215D" w:rsidRDefault="0070165A" w:rsidP="0070165A">
      <w:pPr>
        <w:pStyle w:val="ListParagraph"/>
        <w:tabs>
          <w:tab w:val="right" w:pos="1107"/>
        </w:tabs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lastRenderedPageBreak/>
        <w:t xml:space="preserve">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الفصل الثاني : المساهمة الفكرية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الفقرة الاولى : تحفيز المرأة على الإنطلاق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أولاً : الإتحاد والتضامن والجدية في النضال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ثانياً: إثبات وجودها وتحمل مسؤولياتها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ثالثاً : العلم الثقافة والمعرفة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الفقرة الثانية  : بلورة مسألة إلغاء التمييز ضد المرأة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أولاً : تغييرالنظرة للمرأة  وتكافؤ الفرص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ثانياً : دعم إعلامي وبرامج توعية </w:t>
      </w:r>
    </w:p>
    <w:p w:rsidR="0070165A" w:rsidRPr="0021215D" w:rsidRDefault="0070165A" w:rsidP="0070165A">
      <w:p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ثالثاً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: تعديل القوانين التمييزية وفرض تطبيق النصوص المنصفة </w:t>
      </w:r>
    </w:p>
    <w:p w:rsidR="0070165A" w:rsidRPr="0021215D" w:rsidRDefault="0070165A" w:rsidP="0070165A">
      <w:pPr>
        <w:pStyle w:val="ListParagraph"/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           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رابعاً : توصيات اخرى </w:t>
      </w:r>
    </w:p>
    <w:p w:rsidR="0070165A" w:rsidRPr="00B841C2" w:rsidRDefault="0070165A" w:rsidP="0070165A">
      <w:pPr>
        <w:shd w:val="clear" w:color="auto" w:fill="FFFFFF"/>
        <w:bidi/>
        <w:spacing w:afterAutospacing="1"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LB"/>
        </w:rPr>
        <w:t xml:space="preserve">                      </w:t>
      </w:r>
      <w:r w:rsidRPr="00B841C2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LB"/>
        </w:rPr>
        <w:t xml:space="preserve">الخاتمة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LB"/>
        </w:rPr>
        <w:t xml:space="preserve">   </w:t>
      </w:r>
    </w:p>
    <w:p w:rsidR="0070165A" w:rsidRPr="0021215D" w:rsidRDefault="0070165A" w:rsidP="0070165A">
      <w:pPr>
        <w:shd w:val="clear" w:color="auto" w:fill="FFFFFF"/>
        <w:bidi/>
        <w:spacing w:afterAutospacing="1"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LB"/>
        </w:rPr>
      </w:pPr>
      <w:r w:rsidRPr="0021215D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LB"/>
        </w:rPr>
        <w:t>الملاحق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ملحق رقم 1: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الاستمارة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  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ملحق رقم 2: الاعلان العالمى لحقوق الانسان  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ملحق رقم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3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: العهد الدولي الخاص بالحقوق المدنية والسياسية  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ملحق رقم</w:t>
      </w:r>
      <w:r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4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: العهد الدولي الخاص بالحقوق الإقتصادية والاجتماعية 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ملحق رقم 5: اتفاقية القضاء على جميع أشكال التمييز ضد المرأة 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ملحق رقم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6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:  إعلان بشأن المؤتمر العالمي المعني بالمرأة والتنمية والسلم  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ملحق رقم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7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:</w:t>
      </w:r>
      <w:r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اتفاقية بشأن الحقوق السياسية للمرأة (1952)  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ملحق رقم 8:  قانون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رقم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293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حماية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النساء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وسائر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أفراد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الأسرة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من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العنف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  <w:t xml:space="preserve"> 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الأسري    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ملحق رقم</w:t>
      </w:r>
      <w:r w:rsidRPr="0021215D">
        <w:rPr>
          <w:rFonts w:ascii="Traditional Arabic" w:eastAsia="Calibri" w:hAnsi="Traditional Arabic" w:cs="Traditional Arabic" w:hint="cs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 xml:space="preserve"> 9</w:t>
      </w: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:  قرار صادر عن قاضي الامور المستعجلة في جديدة المتن في 18-3-2014</w:t>
      </w:r>
    </w:p>
    <w:p w:rsidR="0070165A" w:rsidRPr="0021215D" w:rsidRDefault="0070165A" w:rsidP="0070165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lang w:bidi="ar-LB"/>
        </w:rPr>
      </w:pPr>
      <w:r w:rsidRPr="0021215D">
        <w:rPr>
          <w:rFonts w:ascii="Traditional Arabic" w:eastAsia="Calibri" w:hAnsi="Traditional Arabic" w:cs="Traditional Arabic"/>
          <w:b/>
          <w:bCs/>
          <w:color w:val="000000" w:themeColor="text1"/>
          <w:kern w:val="24"/>
          <w:position w:val="1"/>
          <w:sz w:val="28"/>
          <w:szCs w:val="28"/>
          <w:rtl/>
          <w:lang w:bidi="ar-LB"/>
        </w:rPr>
        <w:t>قائمة المراجع</w:t>
      </w:r>
    </w:p>
    <w:p w:rsidR="0070165A" w:rsidRDefault="0070165A" w:rsidP="0070165A">
      <w:pPr>
        <w:bidi/>
        <w:spacing w:line="240" w:lineRule="auto"/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LB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494"/>
    <w:multiLevelType w:val="hybridMultilevel"/>
    <w:tmpl w:val="DA4EA66C"/>
    <w:lvl w:ilvl="0" w:tplc="6A1E7C9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5A"/>
    <w:rsid w:val="00282896"/>
    <w:rsid w:val="007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D1E2-DC7B-4C71-B645-A48B9B33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SACC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2022-11-10T16:25:00Z</dcterms:created>
  <dcterms:modified xsi:type="dcterms:W3CDTF">2022-11-10T16:25:00Z</dcterms:modified>
</cp:coreProperties>
</file>