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576" w:rsidRPr="00CF5BB8" w:rsidRDefault="00392576" w:rsidP="00392576">
      <w:pPr>
        <w:tabs>
          <w:tab w:val="left" w:pos="566"/>
          <w:tab w:val="left" w:pos="926"/>
        </w:tabs>
        <w:bidi/>
        <w:jc w:val="both"/>
        <w:rPr>
          <w:rFonts w:ascii="Simplified Arabic" w:hAnsi="Simplified Arabic" w:cs="Simplified Arabic"/>
          <w:sz w:val="28"/>
          <w:szCs w:val="28"/>
          <w:rtl/>
        </w:rPr>
      </w:pPr>
    </w:p>
    <w:p w:rsidR="00392576" w:rsidRDefault="00392576" w:rsidP="00A20F26">
      <w:pPr>
        <w:tabs>
          <w:tab w:val="left" w:pos="566"/>
          <w:tab w:val="left" w:pos="926"/>
        </w:tabs>
        <w:bidi/>
        <w:jc w:val="center"/>
        <w:rPr>
          <w:rFonts w:ascii="Simplified Arabic" w:hAnsi="Simplified Arabic" w:cs="Simplified Arabic"/>
          <w:b/>
          <w:bCs/>
          <w:sz w:val="28"/>
          <w:szCs w:val="28"/>
          <w:rtl/>
        </w:rPr>
      </w:pPr>
      <w:bookmarkStart w:id="0" w:name="_GoBack"/>
      <w:r>
        <w:rPr>
          <w:rFonts w:ascii="Simplified Arabic" w:hAnsi="Simplified Arabic" w:cs="Simplified Arabic" w:hint="cs"/>
          <w:b/>
          <w:bCs/>
          <w:sz w:val="28"/>
          <w:szCs w:val="28"/>
          <w:rtl/>
        </w:rPr>
        <w:t>في واجب تطبيق قانون الممتلكات الثقافية</w:t>
      </w:r>
      <w:r w:rsidR="00A20F26">
        <w:rPr>
          <w:rStyle w:val="FootnoteReference"/>
          <w:rFonts w:ascii="Simplified Arabic" w:hAnsi="Simplified Arabic" w:cs="Simplified Arabic"/>
          <w:b/>
          <w:bCs/>
          <w:sz w:val="28"/>
          <w:szCs w:val="28"/>
          <w:rtl/>
        </w:rPr>
        <w:footnoteReference w:id="1"/>
      </w:r>
    </w:p>
    <w:p w:rsidR="00392576" w:rsidRPr="0084272C" w:rsidRDefault="00392576" w:rsidP="00392576">
      <w:pPr>
        <w:tabs>
          <w:tab w:val="left" w:pos="566"/>
          <w:tab w:val="left" w:pos="926"/>
        </w:tabs>
        <w:bidi/>
        <w:jc w:val="right"/>
        <w:rPr>
          <w:rFonts w:ascii="Simplified Arabic" w:hAnsi="Simplified Arabic" w:cs="Simplified Arabic"/>
          <w:b/>
          <w:bCs/>
          <w:sz w:val="28"/>
          <w:szCs w:val="28"/>
          <w:vertAlign w:val="superscript"/>
        </w:rPr>
      </w:pPr>
      <w:r>
        <w:rPr>
          <w:rFonts w:ascii="Simplified Arabic" w:hAnsi="Simplified Arabic" w:cs="Simplified Arabic" w:hint="cs"/>
          <w:b/>
          <w:bCs/>
          <w:sz w:val="28"/>
          <w:szCs w:val="28"/>
          <w:rtl/>
        </w:rPr>
        <w:t xml:space="preserve"> عصام نعمة إسماعيل</w:t>
      </w:r>
      <w:r w:rsidR="0084272C">
        <w:rPr>
          <w:rFonts w:ascii="Simplified Arabic" w:hAnsi="Simplified Arabic" w:cs="Simplified Arabic" w:hint="cs"/>
          <w:b/>
          <w:bCs/>
          <w:sz w:val="28"/>
          <w:szCs w:val="28"/>
          <w:vertAlign w:val="superscript"/>
          <w:rtl/>
        </w:rPr>
        <w:t>(</w:t>
      </w:r>
      <w:r w:rsidR="0084272C">
        <w:rPr>
          <w:rStyle w:val="FootnoteReference"/>
          <w:rFonts w:ascii="Simplified Arabic" w:hAnsi="Simplified Arabic" w:cs="Simplified Arabic"/>
          <w:b/>
          <w:bCs/>
          <w:sz w:val="28"/>
          <w:szCs w:val="28"/>
          <w:rtl/>
        </w:rPr>
        <w:footnoteReference w:id="2"/>
      </w:r>
      <w:r w:rsidR="0084272C">
        <w:rPr>
          <w:rFonts w:ascii="Simplified Arabic" w:hAnsi="Simplified Arabic" w:cs="Simplified Arabic" w:hint="cs"/>
          <w:b/>
          <w:bCs/>
          <w:sz w:val="28"/>
          <w:szCs w:val="28"/>
          <w:vertAlign w:val="superscript"/>
          <w:rtl/>
        </w:rPr>
        <w:t>)</w:t>
      </w:r>
    </w:p>
    <w:p w:rsidR="00A5515C" w:rsidRDefault="00A5515C" w:rsidP="00A5515C">
      <w:pPr>
        <w:bidi/>
        <w:rPr>
          <w:rFonts w:ascii="Tahoma" w:hAnsi="Tahoma" w:cs="Tahoma" w:hint="cs"/>
          <w:color w:val="808080"/>
          <w:sz w:val="20"/>
          <w:szCs w:val="20"/>
          <w:rtl/>
        </w:rPr>
      </w:pPr>
      <w:r>
        <w:rPr>
          <w:rFonts w:ascii="Tahoma" w:hAnsi="Tahoma" w:cs="Tahoma" w:hint="cs"/>
          <w:color w:val="808080"/>
          <w:sz w:val="20"/>
          <w:szCs w:val="20"/>
          <w:rtl/>
        </w:rPr>
        <w:t>جريدة الاخبار</w:t>
      </w:r>
    </w:p>
    <w:p w:rsidR="00A5515C" w:rsidRDefault="00A5515C" w:rsidP="00A5515C">
      <w:pPr>
        <w:bidi/>
        <w:rPr>
          <w:rFonts w:ascii="Tahoma" w:hAnsi="Tahoma" w:cs="Tahoma"/>
          <w:color w:val="808080"/>
          <w:sz w:val="20"/>
          <w:szCs w:val="20"/>
        </w:rPr>
      </w:pPr>
      <w:r>
        <w:rPr>
          <w:rFonts w:ascii="Tahoma" w:hAnsi="Tahoma" w:cs="Tahoma"/>
          <w:color w:val="808080"/>
          <w:sz w:val="20"/>
          <w:szCs w:val="20"/>
          <w:rtl/>
        </w:rPr>
        <w:t>مجتمع واقتصاد</w:t>
      </w:r>
    </w:p>
    <w:p w:rsidR="00A5515C" w:rsidRDefault="00A5515C" w:rsidP="00A5515C">
      <w:pPr>
        <w:bidi/>
        <w:rPr>
          <w:rFonts w:ascii="Tahoma" w:hAnsi="Tahoma" w:cs="Tahoma"/>
          <w:color w:val="808080"/>
          <w:sz w:val="20"/>
          <w:szCs w:val="20"/>
        </w:rPr>
      </w:pPr>
      <w:r>
        <w:rPr>
          <w:rFonts w:ascii="Tahoma" w:hAnsi="Tahoma" w:cs="Tahoma"/>
          <w:color w:val="808080"/>
          <w:sz w:val="20"/>
          <w:szCs w:val="20"/>
          <w:rtl/>
        </w:rPr>
        <w:t>العدد ٣٠٩٢ الاثنين ٣٠ كانون الثاني ٢٠١٧</w:t>
      </w:r>
    </w:p>
    <w:p w:rsidR="0084272C" w:rsidRDefault="0084272C" w:rsidP="0084272C">
      <w:pPr>
        <w:tabs>
          <w:tab w:val="left" w:pos="566"/>
          <w:tab w:val="left" w:pos="926"/>
        </w:tabs>
        <w:bidi/>
        <w:jc w:val="right"/>
        <w:rPr>
          <w:rFonts w:ascii="Simplified Arabic" w:hAnsi="Simplified Arabic" w:cs="Simplified Arabic"/>
          <w:b/>
          <w:bCs/>
          <w:sz w:val="28"/>
          <w:szCs w:val="28"/>
          <w:rtl/>
          <w:lang w:bidi="ar-LB"/>
        </w:rPr>
      </w:pPr>
    </w:p>
    <w:p w:rsidR="006B1618" w:rsidRDefault="00392576" w:rsidP="00400463">
      <w:pPr>
        <w:autoSpaceDE w:val="0"/>
        <w:autoSpaceDN w:val="0"/>
        <w:bidi/>
        <w:adjustRightInd w:val="0"/>
        <w:jc w:val="both"/>
        <w:rPr>
          <w:rFonts w:ascii="Simplified Arabic" w:eastAsiaTheme="minorHAnsi" w:hAnsi="Simplified Arabic" w:cs="Simplified Arabic"/>
          <w:sz w:val="28"/>
          <w:szCs w:val="28"/>
          <w:rtl/>
        </w:rPr>
      </w:pPr>
      <w:r w:rsidRPr="006B1618">
        <w:rPr>
          <w:rFonts w:ascii="Simplified Arabic" w:hAnsi="Simplified Arabic" w:cs="Simplified Arabic"/>
          <w:sz w:val="28"/>
          <w:szCs w:val="28"/>
          <w:rtl/>
        </w:rPr>
        <w:t xml:space="preserve">نشهد في هذه السنوات هجمة غير مسبوقة على هدم المباني التراثية والتاريخية، والمدهش أن قرارات هدم هذه المباني إنما تكون تنفيذاً لأحكامٍ قضائية يبطل بموجبها مجلس شورى الدولة قرارات وزير الثقافة بعدم الموافقة على </w:t>
      </w:r>
      <w:r w:rsidR="009B1EBE">
        <w:rPr>
          <w:rFonts w:ascii="Simplified Arabic" w:hAnsi="Simplified Arabic" w:cs="Simplified Arabic" w:hint="cs"/>
          <w:sz w:val="28"/>
          <w:szCs w:val="28"/>
          <w:rtl/>
        </w:rPr>
        <w:t xml:space="preserve">هدم </w:t>
      </w:r>
      <w:r w:rsidRPr="006B1618">
        <w:rPr>
          <w:rFonts w:ascii="Simplified Arabic" w:hAnsi="Simplified Arabic" w:cs="Simplified Arabic"/>
          <w:sz w:val="28"/>
          <w:szCs w:val="28"/>
          <w:rtl/>
        </w:rPr>
        <w:t>هذه المباني، ويستند الاجتهاد في إبطال قرار وزير الثقافة على نظام الآثار القديمة الصادر بموجب قرار المفوض السامي رقم 166 تاريخ 7/11/1933، وتتجاهل هذه الأحكام قانون ا</w:t>
      </w:r>
      <w:r w:rsidRPr="006B1618">
        <w:rPr>
          <w:rFonts w:ascii="Simplified Arabic" w:eastAsiaTheme="minorHAnsi" w:hAnsi="Simplified Arabic" w:cs="Simplified Arabic"/>
          <w:sz w:val="28"/>
          <w:szCs w:val="28"/>
          <w:rtl/>
        </w:rPr>
        <w:t>لممتلكات الثقافية رقم 37 تاريخ 16/10/2008  الذي أجاز تطبيق قانون الآثار القديمة مع الأخذ بالاعتبار أحكام القانون الجديد. وقد تبين أن القانون الجديد لا سيما المادة الثانية منه قد نصّت على أن تشمل الممتلكات الثقافية الأشياء التي سبق تسجيلها أو تصنيفها أو الاعتراف بها أو</w:t>
      </w:r>
      <w:r w:rsidRPr="00400463">
        <w:rPr>
          <w:rFonts w:ascii="Simplified Arabic" w:eastAsiaTheme="minorHAnsi" w:hAnsi="Simplified Arabic" w:cs="Simplified Arabic"/>
          <w:sz w:val="28"/>
          <w:szCs w:val="28"/>
          <w:rtl/>
        </w:rPr>
        <w:t xml:space="preserve"> التي لم يتم ذلك بشأنها بعد </w:t>
      </w:r>
      <w:r w:rsidRPr="006B1618">
        <w:rPr>
          <w:rFonts w:ascii="Simplified Arabic" w:eastAsiaTheme="minorHAnsi" w:hAnsi="Simplified Arabic" w:cs="Simplified Arabic"/>
          <w:sz w:val="28"/>
          <w:szCs w:val="28"/>
          <w:rtl/>
        </w:rPr>
        <w:t>والتي تنتمي، على سبيل الم</w:t>
      </w:r>
      <w:r w:rsidR="00400463">
        <w:rPr>
          <w:rFonts w:ascii="Simplified Arabic" w:eastAsiaTheme="minorHAnsi" w:hAnsi="Simplified Arabic" w:cs="Simplified Arabic"/>
          <w:sz w:val="28"/>
          <w:szCs w:val="28"/>
          <w:rtl/>
        </w:rPr>
        <w:t>ثال لا الحصر، إلى الفئات الآتية</w:t>
      </w:r>
      <w:r w:rsidRPr="006B1618">
        <w:rPr>
          <w:rFonts w:ascii="Simplified Arabic" w:eastAsiaTheme="minorHAnsi" w:hAnsi="Simplified Arabic" w:cs="Simplified Arabic"/>
          <w:sz w:val="28"/>
          <w:szCs w:val="28"/>
          <w:rtl/>
        </w:rPr>
        <w:t>:(‌أ)</w:t>
      </w:r>
      <w:r w:rsidR="00400463">
        <w:rPr>
          <w:rFonts w:ascii="Simplified Arabic" w:eastAsiaTheme="minorHAnsi" w:hAnsi="Simplified Arabic" w:cs="Simplified Arabic" w:hint="cs"/>
          <w:sz w:val="28"/>
          <w:szCs w:val="28"/>
          <w:rtl/>
        </w:rPr>
        <w:t xml:space="preserve"> </w:t>
      </w:r>
      <w:r w:rsidRPr="006B1618">
        <w:rPr>
          <w:rFonts w:ascii="Simplified Arabic" w:eastAsiaTheme="minorHAnsi" w:hAnsi="Simplified Arabic" w:cs="Simplified Arabic"/>
          <w:sz w:val="28"/>
          <w:szCs w:val="28"/>
          <w:rtl/>
        </w:rPr>
        <w:t xml:space="preserve">الممتلكات غير المنقولة، أي الأماكن والمواقع الأثرية، أو التاريخية، أو العلمية، والمنشآت والمعالم والصروح والمباني </w:t>
      </w:r>
      <w:r w:rsidRPr="00400463">
        <w:rPr>
          <w:rFonts w:ascii="Simplified Arabic" w:eastAsiaTheme="minorHAnsi" w:hAnsi="Simplified Arabic" w:cs="Simplified Arabic"/>
          <w:sz w:val="28"/>
          <w:szCs w:val="28"/>
          <w:rtl/>
        </w:rPr>
        <w:t>أو أجزاء المباني ذات القيمة التراثية، أو التاريخية، أو العلمية، أو الجمالية، أو المعمارية، أو الرمزية، سواء كانت دينية أو مدنية، ومجموعات المباني التقليدية والأحياء التاريخية القائمة في المدن أو في الريف، والمواقع الطبيعية التي أعدها الإنسان أو استعملها وبقايا الحضارات السالفة</w:t>
      </w:r>
      <w:r w:rsidR="00400463">
        <w:rPr>
          <w:rFonts w:ascii="Simplified Arabic" w:eastAsiaTheme="minorHAnsi" w:hAnsi="Simplified Arabic" w:cs="Simplified Arabic"/>
          <w:sz w:val="28"/>
          <w:szCs w:val="28"/>
          <w:rtl/>
        </w:rPr>
        <w:t xml:space="preserve"> ذات القيمة الأثنولوجية،</w:t>
      </w:r>
      <w:r w:rsidR="00400463">
        <w:rPr>
          <w:rFonts w:ascii="Simplified Arabic" w:eastAsiaTheme="minorHAnsi" w:hAnsi="Simplified Arabic" w:cs="Simplified Arabic" w:hint="cs"/>
          <w:sz w:val="28"/>
          <w:szCs w:val="28"/>
          <w:rtl/>
        </w:rPr>
        <w:t xml:space="preserve"> </w:t>
      </w:r>
      <w:r w:rsidR="00400463">
        <w:rPr>
          <w:rFonts w:ascii="Simplified Arabic" w:eastAsiaTheme="minorHAnsi" w:hAnsi="Simplified Arabic" w:cs="Simplified Arabic"/>
          <w:sz w:val="28"/>
          <w:szCs w:val="28"/>
          <w:rtl/>
        </w:rPr>
        <w:t xml:space="preserve">.....  </w:t>
      </w:r>
      <w:r w:rsidRPr="00400463">
        <w:rPr>
          <w:rFonts w:ascii="Simplified Arabic" w:eastAsiaTheme="minorHAnsi" w:hAnsi="Simplified Arabic" w:cs="Simplified Arabic"/>
          <w:sz w:val="28"/>
          <w:szCs w:val="28"/>
          <w:rtl/>
        </w:rPr>
        <w:t>ولا يقتصر ذلك على الآثار والأشياء الشبيهة بها كما هي محددة في القوانين والأنظمة المرعية الإجراء الخاصة بذلك، ولا سيما القانون الخاص بالآثار وتعديلاته.</w:t>
      </w:r>
    </w:p>
    <w:p w:rsidR="00400463" w:rsidRDefault="00400463" w:rsidP="00400463">
      <w:pPr>
        <w:autoSpaceDE w:val="0"/>
        <w:autoSpaceDN w:val="0"/>
        <w:bidi/>
        <w:adjustRightInd w:val="0"/>
        <w:jc w:val="both"/>
        <w:rPr>
          <w:rFonts w:ascii="Simplified Arabic" w:eastAsiaTheme="minorHAnsi" w:hAnsi="Simplified Arabic" w:cs="Simplified Arabic"/>
          <w:sz w:val="28"/>
          <w:szCs w:val="28"/>
          <w:u w:val="single"/>
          <w:rtl/>
        </w:rPr>
      </w:pPr>
    </w:p>
    <w:p w:rsidR="006B1618" w:rsidRDefault="00392576" w:rsidP="009B1EBE">
      <w:pPr>
        <w:autoSpaceDE w:val="0"/>
        <w:autoSpaceDN w:val="0"/>
        <w:bidi/>
        <w:adjustRightInd w:val="0"/>
        <w:jc w:val="both"/>
        <w:rPr>
          <w:rFonts w:ascii="Simplified Arabic" w:eastAsiaTheme="minorHAnsi" w:hAnsi="Simplified Arabic" w:cs="Simplified Arabic"/>
          <w:sz w:val="28"/>
          <w:szCs w:val="28"/>
          <w:u w:val="single"/>
          <w:rtl/>
          <w:lang w:bidi="ar-LB"/>
        </w:rPr>
      </w:pPr>
      <w:r w:rsidRPr="006B1618">
        <w:rPr>
          <w:rFonts w:ascii="Simplified Arabic" w:hAnsi="Simplified Arabic" w:cs="Simplified Arabic"/>
          <w:sz w:val="28"/>
          <w:szCs w:val="28"/>
          <w:rtl/>
        </w:rPr>
        <w:t xml:space="preserve">بحسب هذا النص، إن القانون </w:t>
      </w:r>
      <w:r w:rsidRPr="006B1618">
        <w:rPr>
          <w:rFonts w:ascii="Simplified Arabic" w:hAnsi="Simplified Arabic" w:cs="Simplified Arabic"/>
          <w:sz w:val="28"/>
          <w:szCs w:val="28"/>
          <w:rtl/>
          <w:lang w:bidi="ar-LB"/>
        </w:rPr>
        <w:t xml:space="preserve">قد أدخل ضمن حمايته الممتلكات المذكورة حتى ولو لم تسجّل أو تصنّف أو يعترف بها. وهذه الحماية القانونية لهذه المملكات غير المصنفة </w:t>
      </w:r>
      <w:r w:rsidR="009B1EBE">
        <w:rPr>
          <w:rFonts w:ascii="Simplified Arabic" w:hAnsi="Simplified Arabic" w:cs="Simplified Arabic" w:hint="cs"/>
          <w:sz w:val="28"/>
          <w:szCs w:val="28"/>
          <w:rtl/>
          <w:lang w:bidi="ar-LB"/>
        </w:rPr>
        <w:t xml:space="preserve">إنما هي </w:t>
      </w:r>
      <w:r w:rsidRPr="006B1618">
        <w:rPr>
          <w:rFonts w:ascii="Simplified Arabic" w:hAnsi="Simplified Arabic" w:cs="Simplified Arabic"/>
          <w:sz w:val="28"/>
          <w:szCs w:val="28"/>
          <w:rtl/>
          <w:lang w:bidi="ar-LB"/>
        </w:rPr>
        <w:t>مقرر</w:t>
      </w:r>
      <w:r w:rsidR="009B1EBE">
        <w:rPr>
          <w:rFonts w:ascii="Simplified Arabic" w:hAnsi="Simplified Arabic" w:cs="Simplified Arabic" w:hint="cs"/>
          <w:sz w:val="28"/>
          <w:szCs w:val="28"/>
          <w:rtl/>
          <w:lang w:bidi="ar-LB"/>
        </w:rPr>
        <w:t>ة</w:t>
      </w:r>
      <w:r w:rsidRPr="006B1618">
        <w:rPr>
          <w:rFonts w:ascii="Simplified Arabic" w:hAnsi="Simplified Arabic" w:cs="Simplified Arabic"/>
          <w:sz w:val="28"/>
          <w:szCs w:val="28"/>
          <w:rtl/>
          <w:lang w:bidi="ar-LB"/>
        </w:rPr>
        <w:t xml:space="preserve"> بقوة النص القانوني </w:t>
      </w:r>
      <w:r w:rsidR="009B1EBE">
        <w:rPr>
          <w:rFonts w:ascii="Simplified Arabic" w:hAnsi="Simplified Arabic" w:cs="Simplified Arabic" w:hint="cs"/>
          <w:sz w:val="28"/>
          <w:szCs w:val="28"/>
          <w:rtl/>
          <w:lang w:bidi="ar-LB"/>
        </w:rPr>
        <w:t xml:space="preserve">لمجرّد </w:t>
      </w:r>
      <w:r w:rsidRPr="006B1618">
        <w:rPr>
          <w:rFonts w:ascii="Simplified Arabic" w:hAnsi="Simplified Arabic" w:cs="Simplified Arabic"/>
          <w:sz w:val="28"/>
          <w:szCs w:val="28"/>
          <w:rtl/>
          <w:lang w:bidi="ar-LB"/>
        </w:rPr>
        <w:t xml:space="preserve">أنها ممتلكات ثقافية، لا تستطيع وزارة الثقافة إلغاء الحماية عنها بعد أن أصبحت محمية بالقانون. ولا يمكن لأيٍ كان التذرع </w:t>
      </w:r>
      <w:r w:rsidR="009B1EBE">
        <w:rPr>
          <w:rFonts w:ascii="Simplified Arabic" w:hAnsi="Simplified Arabic" w:cs="Simplified Arabic" w:hint="cs"/>
          <w:sz w:val="28"/>
          <w:szCs w:val="28"/>
          <w:rtl/>
          <w:lang w:bidi="ar-LB"/>
        </w:rPr>
        <w:t xml:space="preserve">بحقه بهدم هذه المباني متذرعاً بشعار </w:t>
      </w:r>
      <w:r w:rsidRPr="006B1618">
        <w:rPr>
          <w:rFonts w:ascii="Simplified Arabic" w:hAnsi="Simplified Arabic" w:cs="Simplified Arabic"/>
          <w:sz w:val="28"/>
          <w:szCs w:val="28"/>
          <w:rtl/>
          <w:lang w:bidi="ar-LB"/>
        </w:rPr>
        <w:t xml:space="preserve">الحماية </w:t>
      </w:r>
      <w:r w:rsidRPr="006B1618">
        <w:rPr>
          <w:rFonts w:ascii="Simplified Arabic" w:hAnsi="Simplified Arabic" w:cs="Simplified Arabic"/>
          <w:sz w:val="28"/>
          <w:szCs w:val="28"/>
          <w:rtl/>
          <w:lang w:bidi="ar-LB"/>
        </w:rPr>
        <w:lastRenderedPageBreak/>
        <w:t>الدستورية للملكية، ذلك أن هناك فارق بين حق الملكية وبين حدود أو مدى هذا الحق، فمن يملك عقاراً ملاصقاً للشاطئ أو ضمن حرم مطار أو في منطقة منصفة محمية طبيعية، فإن حدود التصرف في ملكه تختلف عمّن يملك عقاراً في منطقة لا يوجد فيها ارتفاقات طبيعية أو قانونية.</w:t>
      </w:r>
    </w:p>
    <w:p w:rsidR="00392576" w:rsidRPr="006B1618" w:rsidRDefault="006B1618" w:rsidP="009B1EBE">
      <w:pPr>
        <w:autoSpaceDE w:val="0"/>
        <w:autoSpaceDN w:val="0"/>
        <w:bidi/>
        <w:adjustRightInd w:val="0"/>
        <w:jc w:val="both"/>
        <w:rPr>
          <w:rFonts w:ascii="Simplified Arabic" w:eastAsiaTheme="minorHAnsi" w:hAnsi="Simplified Arabic" w:cs="Simplified Arabic"/>
          <w:sz w:val="28"/>
          <w:szCs w:val="28"/>
          <w:u w:val="single"/>
          <w:rtl/>
        </w:rPr>
      </w:pPr>
      <w:r>
        <w:rPr>
          <w:rFonts w:ascii="Simplified Arabic" w:hAnsi="Simplified Arabic" w:cs="Simplified Arabic" w:hint="cs"/>
          <w:sz w:val="28"/>
          <w:szCs w:val="28"/>
          <w:rtl/>
          <w:lang w:bidi="ar-LB"/>
        </w:rPr>
        <w:t xml:space="preserve">لذا </w:t>
      </w:r>
      <w:r w:rsidR="00392576" w:rsidRPr="006B1618">
        <w:rPr>
          <w:rFonts w:ascii="Simplified Arabic" w:hAnsi="Simplified Arabic" w:cs="Simplified Arabic"/>
          <w:sz w:val="28"/>
          <w:szCs w:val="28"/>
          <w:rtl/>
          <w:lang w:bidi="ar-LB"/>
        </w:rPr>
        <w:t xml:space="preserve">على مجلس شورى الدولة أن يطبق القانون 37/2008 لا سيما المادة الثانية المذكورة التي تؤمن الحماية لهذه الممتلكات سواءً أأقدمت الدولة على اتخاذ التدابير القانونية لتصنيفها أم أغفلت ذلك، لأن هذه الإجراءات ليست هي التي تمنح </w:t>
      </w:r>
      <w:r w:rsidR="009B1EBE">
        <w:rPr>
          <w:rFonts w:ascii="Simplified Arabic" w:hAnsi="Simplified Arabic" w:cs="Simplified Arabic" w:hint="cs"/>
          <w:sz w:val="28"/>
          <w:szCs w:val="28"/>
          <w:rtl/>
          <w:lang w:bidi="ar-LB"/>
        </w:rPr>
        <w:t xml:space="preserve">لهذه </w:t>
      </w:r>
      <w:r w:rsidR="009B1EBE">
        <w:rPr>
          <w:rFonts w:ascii="Simplified Arabic" w:hAnsi="Simplified Arabic" w:cs="Simplified Arabic"/>
          <w:sz w:val="28"/>
          <w:szCs w:val="28"/>
          <w:rtl/>
          <w:lang w:bidi="ar-LB"/>
        </w:rPr>
        <w:t xml:space="preserve">الممتلكات </w:t>
      </w:r>
      <w:r w:rsidR="009B1EBE">
        <w:rPr>
          <w:rFonts w:ascii="Simplified Arabic" w:hAnsi="Simplified Arabic" w:cs="Simplified Arabic" w:hint="cs"/>
          <w:sz w:val="28"/>
          <w:szCs w:val="28"/>
          <w:rtl/>
          <w:lang w:bidi="ar-LB"/>
        </w:rPr>
        <w:t>ا</w:t>
      </w:r>
      <w:r w:rsidR="00392576" w:rsidRPr="006B1618">
        <w:rPr>
          <w:rFonts w:ascii="Simplified Arabic" w:hAnsi="Simplified Arabic" w:cs="Simplified Arabic"/>
          <w:sz w:val="28"/>
          <w:szCs w:val="28"/>
          <w:rtl/>
          <w:lang w:bidi="ar-LB"/>
        </w:rPr>
        <w:t xml:space="preserve">لصفة التاريخية أو التراثية أو المعمارية أو الجمالية، وإنما </w:t>
      </w:r>
      <w:r w:rsidR="009B1EBE">
        <w:rPr>
          <w:rFonts w:ascii="Simplified Arabic" w:hAnsi="Simplified Arabic" w:cs="Simplified Arabic" w:hint="cs"/>
          <w:sz w:val="28"/>
          <w:szCs w:val="28"/>
          <w:rtl/>
          <w:lang w:bidi="ar-LB"/>
        </w:rPr>
        <w:t xml:space="preserve">هي </w:t>
      </w:r>
      <w:r w:rsidR="00392576" w:rsidRPr="006B1618">
        <w:rPr>
          <w:rFonts w:ascii="Simplified Arabic" w:hAnsi="Simplified Arabic" w:cs="Simplified Arabic"/>
          <w:sz w:val="28"/>
          <w:szCs w:val="28"/>
          <w:rtl/>
          <w:lang w:bidi="ar-LB"/>
        </w:rPr>
        <w:t xml:space="preserve">تكتسب صفة "الممتلك الثقافي" </w:t>
      </w:r>
      <w:r w:rsidRPr="006B1618">
        <w:rPr>
          <w:rFonts w:ascii="Simplified Arabic" w:hAnsi="Simplified Arabic" w:cs="Simplified Arabic"/>
          <w:sz w:val="28"/>
          <w:szCs w:val="28"/>
          <w:rtl/>
          <w:lang w:bidi="ar-LB"/>
        </w:rPr>
        <w:t xml:space="preserve">من </w:t>
      </w:r>
      <w:r w:rsidR="00392576" w:rsidRPr="006B1618">
        <w:rPr>
          <w:rFonts w:ascii="Simplified Arabic" w:hAnsi="Simplified Arabic" w:cs="Simplified Arabic"/>
          <w:sz w:val="28"/>
          <w:szCs w:val="28"/>
          <w:rtl/>
          <w:lang w:bidi="ar-LB"/>
        </w:rPr>
        <w:t>طبيعتها وكيونتها</w:t>
      </w:r>
      <w:r w:rsidRPr="006B1618">
        <w:rPr>
          <w:rFonts w:ascii="Simplified Arabic" w:hAnsi="Simplified Arabic" w:cs="Simplified Arabic"/>
          <w:sz w:val="28"/>
          <w:szCs w:val="28"/>
          <w:rtl/>
          <w:lang w:bidi="ar-LB"/>
        </w:rPr>
        <w:t xml:space="preserve"> لا من قرار إدراجها في سجل، ولهذا وحيث نكون أمام ممتلك ثقافي مسجل أو غير مسجل فإنه يجب ي</w:t>
      </w:r>
      <w:r w:rsidR="00392576" w:rsidRPr="006B1618">
        <w:rPr>
          <w:rFonts w:ascii="Simplified Arabic" w:hAnsi="Simplified Arabic" w:cs="Simplified Arabic"/>
          <w:sz w:val="28"/>
          <w:szCs w:val="28"/>
          <w:rtl/>
          <w:lang w:bidi="ar-LB"/>
        </w:rPr>
        <w:t>كون</w:t>
      </w:r>
      <w:r w:rsidR="009B1EBE">
        <w:rPr>
          <w:rFonts w:ascii="Simplified Arabic" w:hAnsi="Simplified Arabic" w:cs="Simplified Arabic" w:hint="cs"/>
          <w:sz w:val="28"/>
          <w:szCs w:val="28"/>
          <w:rtl/>
          <w:lang w:bidi="ar-LB"/>
        </w:rPr>
        <w:t xml:space="preserve"> حتماً</w:t>
      </w:r>
      <w:r w:rsidR="00392576" w:rsidRPr="006B1618">
        <w:rPr>
          <w:rFonts w:ascii="Simplified Arabic" w:hAnsi="Simplified Arabic" w:cs="Simplified Arabic"/>
          <w:sz w:val="28"/>
          <w:szCs w:val="28"/>
          <w:rtl/>
          <w:lang w:bidi="ar-LB"/>
        </w:rPr>
        <w:t xml:space="preserve"> محل حماية القضاء.</w:t>
      </w:r>
      <w:r w:rsidRPr="006B1618">
        <w:rPr>
          <w:rFonts w:ascii="Simplified Arabic" w:hAnsi="Simplified Arabic" w:cs="Simplified Arabic"/>
          <w:sz w:val="28"/>
          <w:szCs w:val="28"/>
          <w:rtl/>
          <w:lang w:bidi="ar-LB"/>
        </w:rPr>
        <w:t xml:space="preserve"> </w:t>
      </w:r>
    </w:p>
    <w:p w:rsidR="00400463" w:rsidRDefault="00400463" w:rsidP="00400463">
      <w:pPr>
        <w:tabs>
          <w:tab w:val="left" w:pos="566"/>
          <w:tab w:val="left" w:pos="926"/>
        </w:tabs>
        <w:bidi/>
        <w:jc w:val="both"/>
        <w:rPr>
          <w:rFonts w:ascii="Simplified Arabic" w:hAnsi="Simplified Arabic" w:cs="Simplified Arabic"/>
          <w:sz w:val="28"/>
          <w:szCs w:val="28"/>
          <w:rtl/>
          <w:lang w:bidi="ar-LB"/>
        </w:rPr>
      </w:pPr>
    </w:p>
    <w:p w:rsidR="00392576" w:rsidRPr="006B1618" w:rsidRDefault="006B1618" w:rsidP="00400463">
      <w:pPr>
        <w:tabs>
          <w:tab w:val="left" w:pos="566"/>
          <w:tab w:val="left" w:pos="926"/>
        </w:tabs>
        <w:bidi/>
        <w:jc w:val="both"/>
        <w:rPr>
          <w:rFonts w:ascii="Simplified Arabic" w:hAnsi="Simplified Arabic" w:cs="Simplified Arabic"/>
          <w:sz w:val="28"/>
          <w:szCs w:val="28"/>
          <w:rtl/>
          <w:lang w:bidi="ar-LB"/>
        </w:rPr>
      </w:pPr>
      <w:r w:rsidRPr="006B1618">
        <w:rPr>
          <w:rFonts w:ascii="Simplified Arabic" w:hAnsi="Simplified Arabic" w:cs="Simplified Arabic"/>
          <w:sz w:val="28"/>
          <w:szCs w:val="28"/>
          <w:rtl/>
          <w:lang w:bidi="ar-LB"/>
        </w:rPr>
        <w:t xml:space="preserve">وما يعزز هذه الوجهة أن </w:t>
      </w:r>
      <w:r w:rsidR="00392576" w:rsidRPr="006B1618">
        <w:rPr>
          <w:rFonts w:ascii="Simplified Arabic" w:hAnsi="Simplified Arabic" w:cs="Simplified Arabic"/>
          <w:sz w:val="28"/>
          <w:szCs w:val="28"/>
          <w:rtl/>
          <w:lang w:bidi="ar-LB"/>
        </w:rPr>
        <w:t>مجلس الوزراء</w:t>
      </w:r>
      <w:r w:rsidRPr="006B1618">
        <w:rPr>
          <w:rFonts w:ascii="Simplified Arabic" w:hAnsi="Simplified Arabic" w:cs="Simplified Arabic"/>
          <w:sz w:val="28"/>
          <w:szCs w:val="28"/>
          <w:rtl/>
          <w:lang w:bidi="ar-LB"/>
        </w:rPr>
        <w:t xml:space="preserve"> المسؤول عن رسم</w:t>
      </w:r>
      <w:r w:rsidR="00392576" w:rsidRPr="006B1618">
        <w:rPr>
          <w:rFonts w:ascii="Simplified Arabic" w:hAnsi="Simplified Arabic" w:cs="Simplified Arabic"/>
          <w:sz w:val="28"/>
          <w:szCs w:val="28"/>
          <w:rtl/>
          <w:lang w:bidi="ar-LB"/>
        </w:rPr>
        <w:t xml:space="preserve"> السياسة العامة للدولة </w:t>
      </w:r>
      <w:r w:rsidRPr="006B1618">
        <w:rPr>
          <w:rFonts w:ascii="Simplified Arabic" w:hAnsi="Simplified Arabic" w:cs="Simplified Arabic"/>
          <w:sz w:val="28"/>
          <w:szCs w:val="28"/>
          <w:rtl/>
          <w:lang w:bidi="ar-LB"/>
        </w:rPr>
        <w:t xml:space="preserve">وفق المادة 65 من الدستور </w:t>
      </w:r>
      <w:r>
        <w:rPr>
          <w:rFonts w:ascii="Simplified Arabic" w:hAnsi="Simplified Arabic" w:cs="Simplified Arabic" w:hint="cs"/>
          <w:sz w:val="28"/>
          <w:szCs w:val="28"/>
          <w:rtl/>
          <w:lang w:bidi="ar-LB"/>
        </w:rPr>
        <w:t>قد</w:t>
      </w:r>
      <w:r w:rsidRPr="006B1618">
        <w:rPr>
          <w:rFonts w:ascii="Simplified Arabic" w:hAnsi="Simplified Arabic" w:cs="Simplified Arabic"/>
          <w:sz w:val="28"/>
          <w:szCs w:val="28"/>
          <w:rtl/>
          <w:lang w:bidi="ar-LB"/>
        </w:rPr>
        <w:t xml:space="preserve"> اتخذ عدة قرارات رامية إلى </w:t>
      </w:r>
      <w:r w:rsidR="00392576" w:rsidRPr="006B1618">
        <w:rPr>
          <w:rFonts w:ascii="Simplified Arabic" w:hAnsi="Simplified Arabic" w:cs="Simplified Arabic"/>
          <w:sz w:val="28"/>
          <w:szCs w:val="28"/>
          <w:rtl/>
          <w:lang w:bidi="ar-LB"/>
        </w:rPr>
        <w:t xml:space="preserve">المحافظة على الأبنية التراثية والتاريخية وتصنيفها ومنع هدمها، </w:t>
      </w:r>
      <w:r>
        <w:rPr>
          <w:rFonts w:ascii="Simplified Arabic" w:hAnsi="Simplified Arabic" w:cs="Simplified Arabic" w:hint="cs"/>
          <w:sz w:val="28"/>
          <w:szCs w:val="28"/>
          <w:rtl/>
          <w:lang w:bidi="ar-LB"/>
        </w:rPr>
        <w:t xml:space="preserve">وإن هذه القرارات قد اتخذت </w:t>
      </w:r>
      <w:r w:rsidR="00392576" w:rsidRPr="006B1618">
        <w:rPr>
          <w:rFonts w:ascii="Simplified Arabic" w:hAnsi="Simplified Arabic" w:cs="Simplified Arabic"/>
          <w:sz w:val="28"/>
          <w:szCs w:val="28"/>
          <w:rtl/>
          <w:lang w:bidi="ar-LB"/>
        </w:rPr>
        <w:t>لوقف مفاعيل الحملة العمرانية الحديثة التي ترتكز على هاجس الربح والتجارة دون مراعاةٍ لواقع لبنان التاريخي مهد الحضارات والأديان، بحيث تقدم هذه الفئة على هدم معالم لبنان التراثية والتاريخية ليتحول إلى كتلة بناء صماء لا حياة فيها ولا روح.</w:t>
      </w:r>
    </w:p>
    <w:p w:rsidR="00400463" w:rsidRDefault="00400463" w:rsidP="009B1EBE">
      <w:pPr>
        <w:tabs>
          <w:tab w:val="left" w:pos="566"/>
          <w:tab w:val="left" w:pos="926"/>
        </w:tabs>
        <w:bidi/>
        <w:jc w:val="both"/>
        <w:rPr>
          <w:rFonts w:ascii="Simplified Arabic" w:hAnsi="Simplified Arabic" w:cs="Simplified Arabic"/>
          <w:sz w:val="28"/>
          <w:szCs w:val="28"/>
          <w:rtl/>
          <w:lang w:bidi="ar-LB"/>
        </w:rPr>
      </w:pPr>
    </w:p>
    <w:p w:rsidR="006B1618" w:rsidRDefault="006B1618" w:rsidP="00400463">
      <w:pPr>
        <w:tabs>
          <w:tab w:val="left" w:pos="566"/>
          <w:tab w:val="left" w:pos="926"/>
        </w:tabs>
        <w:bidi/>
        <w:jc w:val="both"/>
        <w:rPr>
          <w:rFonts w:ascii="Simplified Arabic" w:hAnsi="Simplified Arabic" w:cs="Simplified Arabic"/>
          <w:sz w:val="28"/>
          <w:szCs w:val="28"/>
          <w:rtl/>
          <w:lang w:bidi="ar-LB"/>
        </w:rPr>
      </w:pPr>
      <w:r w:rsidRPr="006B1618">
        <w:rPr>
          <w:rFonts w:ascii="Simplified Arabic" w:hAnsi="Simplified Arabic" w:cs="Simplified Arabic"/>
          <w:sz w:val="28"/>
          <w:szCs w:val="28"/>
          <w:rtl/>
          <w:lang w:bidi="ar-LB"/>
        </w:rPr>
        <w:t>ولذلك كان على مجلس شورى الدولة بدل الوقوف بمواجهة مجلس الوزراء وإفشال سياسته الرامية للمحافظة على البيئة التراثية والتاريخية، أن يعمد إلى ردّ مراجعات إبطال قرارات وزير الثقافة بعدم الموافقة على هدم الأبنية التراثية والتاريخية بالاستناد إلى قرارات مجلس الوزراء ذات الصلة، ولي</w:t>
      </w:r>
      <w:r w:rsidR="009B1EBE">
        <w:rPr>
          <w:rFonts w:ascii="Simplified Arabic" w:hAnsi="Simplified Arabic" w:cs="Simplified Arabic" w:hint="cs"/>
          <w:sz w:val="28"/>
          <w:szCs w:val="28"/>
          <w:rtl/>
          <w:lang w:bidi="ar-LB"/>
        </w:rPr>
        <w:t>حصر القضاء حقوق ا</w:t>
      </w:r>
      <w:r w:rsidRPr="006B1618">
        <w:rPr>
          <w:rFonts w:ascii="Simplified Arabic" w:hAnsi="Simplified Arabic" w:cs="Simplified Arabic"/>
          <w:sz w:val="28"/>
          <w:szCs w:val="28"/>
          <w:rtl/>
          <w:lang w:bidi="ar-LB"/>
        </w:rPr>
        <w:t>لمتضررين ب</w:t>
      </w:r>
      <w:r w:rsidR="009B1EBE">
        <w:rPr>
          <w:rFonts w:ascii="Simplified Arabic" w:hAnsi="Simplified Arabic" w:cs="Simplified Arabic" w:hint="cs"/>
          <w:sz w:val="28"/>
          <w:szCs w:val="28"/>
          <w:rtl/>
          <w:lang w:bidi="ar-LB"/>
        </w:rPr>
        <w:t xml:space="preserve">المطالبة </w:t>
      </w:r>
      <w:r w:rsidRPr="006B1618">
        <w:rPr>
          <w:rFonts w:ascii="Simplified Arabic" w:hAnsi="Simplified Arabic" w:cs="Simplified Arabic"/>
          <w:sz w:val="28"/>
          <w:szCs w:val="28"/>
          <w:rtl/>
          <w:lang w:bidi="ar-LB"/>
        </w:rPr>
        <w:t>التعويض.</w:t>
      </w:r>
    </w:p>
    <w:p w:rsidR="006B1618" w:rsidRPr="006B1618" w:rsidRDefault="006B1618" w:rsidP="006B1618">
      <w:pPr>
        <w:tabs>
          <w:tab w:val="left" w:pos="566"/>
          <w:tab w:val="left" w:pos="926"/>
        </w:tabs>
        <w:bidi/>
        <w:jc w:val="both"/>
        <w:rPr>
          <w:rFonts w:ascii="Simplified Arabic" w:hAnsi="Simplified Arabic" w:cs="Simplified Arabic"/>
          <w:sz w:val="28"/>
          <w:szCs w:val="28"/>
          <w:rtl/>
        </w:rPr>
      </w:pPr>
    </w:p>
    <w:p w:rsidR="00392576" w:rsidRDefault="006B1618" w:rsidP="00392576">
      <w:pPr>
        <w:tabs>
          <w:tab w:val="left" w:pos="566"/>
          <w:tab w:val="left" w:pos="926"/>
        </w:tabs>
        <w:bidi/>
        <w:jc w:val="both"/>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 </w:t>
      </w:r>
      <w:bookmarkEnd w:id="0"/>
    </w:p>
    <w:sectPr w:rsidR="0039257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783" w:rsidRDefault="00987783" w:rsidP="0084272C">
      <w:r>
        <w:separator/>
      </w:r>
    </w:p>
  </w:endnote>
  <w:endnote w:type="continuationSeparator" w:id="0">
    <w:p w:rsidR="00987783" w:rsidRDefault="00987783" w:rsidP="0084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783" w:rsidRDefault="00987783" w:rsidP="0084272C">
      <w:r>
        <w:separator/>
      </w:r>
    </w:p>
  </w:footnote>
  <w:footnote w:type="continuationSeparator" w:id="0">
    <w:p w:rsidR="00987783" w:rsidRDefault="00987783" w:rsidP="0084272C">
      <w:r>
        <w:continuationSeparator/>
      </w:r>
    </w:p>
  </w:footnote>
  <w:footnote w:id="1">
    <w:p w:rsidR="00A20F26" w:rsidRDefault="00A20F26" w:rsidP="00A20F26">
      <w:pPr>
        <w:pStyle w:val="FootnoteText"/>
        <w:bidi/>
        <w:rPr>
          <w:rtl/>
          <w:lang w:bidi="ar-LB"/>
        </w:rPr>
      </w:pPr>
      <w:r>
        <w:rPr>
          <w:rStyle w:val="FootnoteReference"/>
        </w:rPr>
        <w:footnoteRef/>
      </w:r>
      <w:r>
        <w:t xml:space="preserve"> </w:t>
      </w:r>
      <w:r>
        <w:rPr>
          <w:rFonts w:hint="cs"/>
          <w:rtl/>
          <w:lang w:bidi="ar-LB"/>
        </w:rPr>
        <w:t>دراسة أعدت بالتعاون مع الدولية للمعلومات</w:t>
      </w:r>
    </w:p>
  </w:footnote>
  <w:footnote w:id="2">
    <w:p w:rsidR="0084272C" w:rsidRDefault="0084272C" w:rsidP="0084272C">
      <w:pPr>
        <w:pStyle w:val="FootnoteText"/>
        <w:bidi/>
        <w:rPr>
          <w:rtl/>
          <w:lang w:bidi="ar-LB"/>
        </w:rPr>
      </w:pPr>
      <w:r>
        <w:rPr>
          <w:rStyle w:val="FootnoteReference"/>
        </w:rPr>
        <w:footnoteRef/>
      </w:r>
      <w:r>
        <w:t xml:space="preserve"> </w:t>
      </w:r>
      <w:r>
        <w:rPr>
          <w:rFonts w:hint="cs"/>
          <w:rtl/>
          <w:lang w:bidi="ar-LB"/>
        </w:rPr>
        <w:t xml:space="preserve"> استاذ في الجامعة اللبنانية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33473"/>
    <w:multiLevelType w:val="multilevel"/>
    <w:tmpl w:val="B1FC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BE70BF"/>
    <w:multiLevelType w:val="multilevel"/>
    <w:tmpl w:val="1AE2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76"/>
    <w:rsid w:val="001262C8"/>
    <w:rsid w:val="002F47BB"/>
    <w:rsid w:val="00392576"/>
    <w:rsid w:val="00400463"/>
    <w:rsid w:val="004B399F"/>
    <w:rsid w:val="006B1618"/>
    <w:rsid w:val="007C6C44"/>
    <w:rsid w:val="0084272C"/>
    <w:rsid w:val="008F5F45"/>
    <w:rsid w:val="00987783"/>
    <w:rsid w:val="009B1EBE"/>
    <w:rsid w:val="00A20F26"/>
    <w:rsid w:val="00A5515C"/>
    <w:rsid w:val="00B148D4"/>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576"/>
    <w:rPr>
      <w:rFonts w:eastAsia="Times New Roman"/>
      <w:sz w:val="24"/>
      <w:szCs w:val="24"/>
    </w:rPr>
  </w:style>
  <w:style w:type="paragraph" w:styleId="Heading1">
    <w:name w:val="heading 1"/>
    <w:basedOn w:val="Normal"/>
    <w:next w:val="Normal"/>
    <w:link w:val="Heading1Char"/>
    <w:qFormat/>
    <w:rsid w:val="008F5F45"/>
    <w:pPr>
      <w:keepNext/>
      <w:bidi/>
      <w:outlineLvl w:val="0"/>
    </w:pPr>
    <w:rPr>
      <w:rFonts w:cs="Mudir MT"/>
      <w:b/>
      <w:bCs/>
      <w:sz w:val="20"/>
    </w:rPr>
  </w:style>
  <w:style w:type="paragraph" w:styleId="Heading2">
    <w:name w:val="heading 2"/>
    <w:basedOn w:val="Normal"/>
    <w:next w:val="Normal"/>
    <w:link w:val="Heading2Char"/>
    <w:qFormat/>
    <w:rsid w:val="008F5F45"/>
    <w:pPr>
      <w:keepNext/>
      <w:bidi/>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F5F45"/>
    <w:pPr>
      <w:keepNext/>
      <w:bidi/>
      <w:jc w:val="center"/>
      <w:outlineLvl w:val="2"/>
    </w:pPr>
    <w:rPr>
      <w:rFonts w:cs="Mudir MT"/>
      <w:b/>
      <w:bCs/>
      <w:sz w:val="20"/>
    </w:rPr>
  </w:style>
  <w:style w:type="paragraph" w:styleId="Heading4">
    <w:name w:val="heading 4"/>
    <w:basedOn w:val="Normal"/>
    <w:next w:val="Normal"/>
    <w:link w:val="Heading4Char"/>
    <w:qFormat/>
    <w:rsid w:val="008F5F45"/>
    <w:pPr>
      <w:keepNext/>
      <w:bidi/>
      <w:outlineLvl w:val="3"/>
    </w:pPr>
    <w:rPr>
      <w:rFonts w:cs="DecoType Naskh Variants"/>
      <w:b/>
      <w:bCs/>
      <w:sz w:val="20"/>
      <w:szCs w:val="40"/>
    </w:rPr>
  </w:style>
  <w:style w:type="paragraph" w:styleId="Heading5">
    <w:name w:val="heading 5"/>
    <w:basedOn w:val="Normal"/>
    <w:next w:val="Normal"/>
    <w:link w:val="Heading5Char"/>
    <w:qFormat/>
    <w:rsid w:val="008F5F45"/>
    <w:pPr>
      <w:keepNext/>
      <w:bidi/>
      <w:spacing w:line="192" w:lineRule="auto"/>
      <w:jc w:val="center"/>
      <w:outlineLvl w:val="4"/>
    </w:pPr>
    <w:rPr>
      <w:rFonts w:cs="Mudir MT"/>
      <w:b/>
      <w:bCs/>
      <w:sz w:val="20"/>
      <w:szCs w:val="44"/>
    </w:rPr>
  </w:style>
  <w:style w:type="paragraph" w:styleId="Heading6">
    <w:name w:val="heading 6"/>
    <w:basedOn w:val="Normal"/>
    <w:next w:val="Normal"/>
    <w:link w:val="Heading6Char"/>
    <w:qFormat/>
    <w:rsid w:val="008F5F45"/>
    <w:pPr>
      <w:bidi/>
      <w:spacing w:before="240" w:after="60"/>
      <w:outlineLvl w:val="5"/>
    </w:pPr>
    <w:rPr>
      <w:b/>
      <w:bCs/>
      <w:sz w:val="22"/>
      <w:szCs w:val="22"/>
    </w:rPr>
  </w:style>
  <w:style w:type="paragraph" w:styleId="Heading7">
    <w:name w:val="heading 7"/>
    <w:basedOn w:val="Normal"/>
    <w:next w:val="Normal"/>
    <w:link w:val="Heading7Char"/>
    <w:qFormat/>
    <w:rsid w:val="008F5F45"/>
    <w:pPr>
      <w:bidi/>
      <w:spacing w:before="240" w:after="60"/>
      <w:outlineLvl w:val="6"/>
    </w:pPr>
  </w:style>
  <w:style w:type="paragraph" w:styleId="Heading9">
    <w:name w:val="heading 9"/>
    <w:basedOn w:val="Normal"/>
    <w:next w:val="Normal"/>
    <w:link w:val="Heading9Char"/>
    <w:qFormat/>
    <w:rsid w:val="008F5F45"/>
    <w:pPr>
      <w:bidi/>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bidi/>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bidi/>
      <w:jc w:val="both"/>
    </w:pPr>
    <w:rPr>
      <w:rFonts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FootnoteText">
    <w:name w:val="footnote text"/>
    <w:basedOn w:val="Normal"/>
    <w:link w:val="FootnoteTextChar"/>
    <w:uiPriority w:val="99"/>
    <w:semiHidden/>
    <w:unhideWhenUsed/>
    <w:rsid w:val="0084272C"/>
    <w:rPr>
      <w:sz w:val="20"/>
      <w:szCs w:val="20"/>
    </w:rPr>
  </w:style>
  <w:style w:type="character" w:customStyle="1" w:styleId="FootnoteTextChar">
    <w:name w:val="Footnote Text Char"/>
    <w:basedOn w:val="DefaultParagraphFont"/>
    <w:link w:val="FootnoteText"/>
    <w:uiPriority w:val="99"/>
    <w:semiHidden/>
    <w:rsid w:val="0084272C"/>
    <w:rPr>
      <w:rFonts w:eastAsia="Times New Roman"/>
    </w:rPr>
  </w:style>
  <w:style w:type="character" w:styleId="FootnoteReference">
    <w:name w:val="footnote reference"/>
    <w:basedOn w:val="DefaultParagraphFont"/>
    <w:uiPriority w:val="99"/>
    <w:semiHidden/>
    <w:unhideWhenUsed/>
    <w:rsid w:val="0084272C"/>
    <w:rPr>
      <w:vertAlign w:val="superscript"/>
    </w:rPr>
  </w:style>
  <w:style w:type="character" w:styleId="Hyperlink">
    <w:name w:val="Hyperlink"/>
    <w:basedOn w:val="DefaultParagraphFont"/>
    <w:uiPriority w:val="99"/>
    <w:semiHidden/>
    <w:unhideWhenUsed/>
    <w:rsid w:val="00A551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576"/>
    <w:rPr>
      <w:rFonts w:eastAsia="Times New Roman"/>
      <w:sz w:val="24"/>
      <w:szCs w:val="24"/>
    </w:rPr>
  </w:style>
  <w:style w:type="paragraph" w:styleId="Heading1">
    <w:name w:val="heading 1"/>
    <w:basedOn w:val="Normal"/>
    <w:next w:val="Normal"/>
    <w:link w:val="Heading1Char"/>
    <w:qFormat/>
    <w:rsid w:val="008F5F45"/>
    <w:pPr>
      <w:keepNext/>
      <w:bidi/>
      <w:outlineLvl w:val="0"/>
    </w:pPr>
    <w:rPr>
      <w:rFonts w:cs="Mudir MT"/>
      <w:b/>
      <w:bCs/>
      <w:sz w:val="20"/>
    </w:rPr>
  </w:style>
  <w:style w:type="paragraph" w:styleId="Heading2">
    <w:name w:val="heading 2"/>
    <w:basedOn w:val="Normal"/>
    <w:next w:val="Normal"/>
    <w:link w:val="Heading2Char"/>
    <w:qFormat/>
    <w:rsid w:val="008F5F45"/>
    <w:pPr>
      <w:keepNext/>
      <w:bidi/>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F5F45"/>
    <w:pPr>
      <w:keepNext/>
      <w:bidi/>
      <w:jc w:val="center"/>
      <w:outlineLvl w:val="2"/>
    </w:pPr>
    <w:rPr>
      <w:rFonts w:cs="Mudir MT"/>
      <w:b/>
      <w:bCs/>
      <w:sz w:val="20"/>
    </w:rPr>
  </w:style>
  <w:style w:type="paragraph" w:styleId="Heading4">
    <w:name w:val="heading 4"/>
    <w:basedOn w:val="Normal"/>
    <w:next w:val="Normal"/>
    <w:link w:val="Heading4Char"/>
    <w:qFormat/>
    <w:rsid w:val="008F5F45"/>
    <w:pPr>
      <w:keepNext/>
      <w:bidi/>
      <w:outlineLvl w:val="3"/>
    </w:pPr>
    <w:rPr>
      <w:rFonts w:cs="DecoType Naskh Variants"/>
      <w:b/>
      <w:bCs/>
      <w:sz w:val="20"/>
      <w:szCs w:val="40"/>
    </w:rPr>
  </w:style>
  <w:style w:type="paragraph" w:styleId="Heading5">
    <w:name w:val="heading 5"/>
    <w:basedOn w:val="Normal"/>
    <w:next w:val="Normal"/>
    <w:link w:val="Heading5Char"/>
    <w:qFormat/>
    <w:rsid w:val="008F5F45"/>
    <w:pPr>
      <w:keepNext/>
      <w:bidi/>
      <w:spacing w:line="192" w:lineRule="auto"/>
      <w:jc w:val="center"/>
      <w:outlineLvl w:val="4"/>
    </w:pPr>
    <w:rPr>
      <w:rFonts w:cs="Mudir MT"/>
      <w:b/>
      <w:bCs/>
      <w:sz w:val="20"/>
      <w:szCs w:val="44"/>
    </w:rPr>
  </w:style>
  <w:style w:type="paragraph" w:styleId="Heading6">
    <w:name w:val="heading 6"/>
    <w:basedOn w:val="Normal"/>
    <w:next w:val="Normal"/>
    <w:link w:val="Heading6Char"/>
    <w:qFormat/>
    <w:rsid w:val="008F5F45"/>
    <w:pPr>
      <w:bidi/>
      <w:spacing w:before="240" w:after="60"/>
      <w:outlineLvl w:val="5"/>
    </w:pPr>
    <w:rPr>
      <w:b/>
      <w:bCs/>
      <w:sz w:val="22"/>
      <w:szCs w:val="22"/>
    </w:rPr>
  </w:style>
  <w:style w:type="paragraph" w:styleId="Heading7">
    <w:name w:val="heading 7"/>
    <w:basedOn w:val="Normal"/>
    <w:next w:val="Normal"/>
    <w:link w:val="Heading7Char"/>
    <w:qFormat/>
    <w:rsid w:val="008F5F45"/>
    <w:pPr>
      <w:bidi/>
      <w:spacing w:before="240" w:after="60"/>
      <w:outlineLvl w:val="6"/>
    </w:pPr>
  </w:style>
  <w:style w:type="paragraph" w:styleId="Heading9">
    <w:name w:val="heading 9"/>
    <w:basedOn w:val="Normal"/>
    <w:next w:val="Normal"/>
    <w:link w:val="Heading9Char"/>
    <w:qFormat/>
    <w:rsid w:val="008F5F45"/>
    <w:pPr>
      <w:bidi/>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bidi/>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bidi/>
      <w:jc w:val="both"/>
    </w:pPr>
    <w:rPr>
      <w:rFonts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FootnoteText">
    <w:name w:val="footnote text"/>
    <w:basedOn w:val="Normal"/>
    <w:link w:val="FootnoteTextChar"/>
    <w:uiPriority w:val="99"/>
    <w:semiHidden/>
    <w:unhideWhenUsed/>
    <w:rsid w:val="0084272C"/>
    <w:rPr>
      <w:sz w:val="20"/>
      <w:szCs w:val="20"/>
    </w:rPr>
  </w:style>
  <w:style w:type="character" w:customStyle="1" w:styleId="FootnoteTextChar">
    <w:name w:val="Footnote Text Char"/>
    <w:basedOn w:val="DefaultParagraphFont"/>
    <w:link w:val="FootnoteText"/>
    <w:uiPriority w:val="99"/>
    <w:semiHidden/>
    <w:rsid w:val="0084272C"/>
    <w:rPr>
      <w:rFonts w:eastAsia="Times New Roman"/>
    </w:rPr>
  </w:style>
  <w:style w:type="character" w:styleId="FootnoteReference">
    <w:name w:val="footnote reference"/>
    <w:basedOn w:val="DefaultParagraphFont"/>
    <w:uiPriority w:val="99"/>
    <w:semiHidden/>
    <w:unhideWhenUsed/>
    <w:rsid w:val="0084272C"/>
    <w:rPr>
      <w:vertAlign w:val="superscript"/>
    </w:rPr>
  </w:style>
  <w:style w:type="character" w:styleId="Hyperlink">
    <w:name w:val="Hyperlink"/>
    <w:basedOn w:val="DefaultParagraphFont"/>
    <w:uiPriority w:val="99"/>
    <w:semiHidden/>
    <w:unhideWhenUsed/>
    <w:rsid w:val="00A551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53258">
      <w:bodyDiv w:val="1"/>
      <w:marLeft w:val="0"/>
      <w:marRight w:val="0"/>
      <w:marTop w:val="0"/>
      <w:marBottom w:val="0"/>
      <w:divBdr>
        <w:top w:val="none" w:sz="0" w:space="0" w:color="auto"/>
        <w:left w:val="none" w:sz="0" w:space="0" w:color="auto"/>
        <w:bottom w:val="none" w:sz="0" w:space="0" w:color="auto"/>
        <w:right w:val="none" w:sz="0" w:space="0" w:color="auto"/>
      </w:divBdr>
      <w:divsChild>
        <w:div w:id="218638944">
          <w:marLeft w:val="0"/>
          <w:marRight w:val="0"/>
          <w:marTop w:val="0"/>
          <w:marBottom w:val="240"/>
          <w:divBdr>
            <w:top w:val="none" w:sz="0" w:space="0" w:color="auto"/>
            <w:left w:val="none" w:sz="0" w:space="0" w:color="auto"/>
            <w:bottom w:val="none" w:sz="0" w:space="0" w:color="auto"/>
            <w:right w:val="none" w:sz="0" w:space="0" w:color="auto"/>
          </w:divBdr>
          <w:divsChild>
            <w:div w:id="1107120495">
              <w:marLeft w:val="0"/>
              <w:marRight w:val="0"/>
              <w:marTop w:val="0"/>
              <w:marBottom w:val="0"/>
              <w:divBdr>
                <w:top w:val="none" w:sz="0" w:space="0" w:color="auto"/>
                <w:left w:val="none" w:sz="0" w:space="0" w:color="auto"/>
                <w:bottom w:val="none" w:sz="0" w:space="0" w:color="auto"/>
                <w:right w:val="none" w:sz="0" w:space="0" w:color="auto"/>
              </w:divBdr>
            </w:div>
            <w:div w:id="1001154087">
              <w:marLeft w:val="0"/>
              <w:marRight w:val="0"/>
              <w:marTop w:val="0"/>
              <w:marBottom w:val="0"/>
              <w:divBdr>
                <w:top w:val="none" w:sz="0" w:space="0" w:color="auto"/>
                <w:left w:val="none" w:sz="0" w:space="0" w:color="auto"/>
                <w:bottom w:val="none" w:sz="0" w:space="0" w:color="auto"/>
                <w:right w:val="none" w:sz="0" w:space="0" w:color="auto"/>
              </w:divBdr>
            </w:div>
          </w:divsChild>
        </w:div>
        <w:div w:id="27270705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D449F-BE2D-4A87-89DD-C8041D4E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9</cp:revision>
  <dcterms:created xsi:type="dcterms:W3CDTF">2017-01-17T12:35:00Z</dcterms:created>
  <dcterms:modified xsi:type="dcterms:W3CDTF">2017-02-01T17:18:00Z</dcterms:modified>
</cp:coreProperties>
</file>