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14669" w14:textId="16A730BF" w:rsidR="00B07B3B" w:rsidRDefault="004920EA" w:rsidP="00B07B3B">
      <w:pPr>
        <w:bidi/>
        <w:jc w:val="center"/>
        <w:rPr>
          <w:rFonts w:ascii="Helvetica" w:hAnsi="Helvetica"/>
          <w:b/>
          <w:bCs/>
          <w:sz w:val="32"/>
          <w:szCs w:val="32"/>
          <w:rtl/>
        </w:rPr>
      </w:pPr>
      <w:bookmarkStart w:id="0" w:name="_GoBack"/>
      <w:r w:rsidRPr="00BD7085">
        <w:rPr>
          <w:rFonts w:ascii="Helvetica" w:hAnsi="Helvetica" w:hint="cs"/>
          <w:b/>
          <w:bCs/>
          <w:sz w:val="32"/>
          <w:szCs w:val="32"/>
          <w:rtl/>
        </w:rPr>
        <w:t>للنا</w:t>
      </w:r>
      <w:r w:rsidRPr="00BD7085">
        <w:rPr>
          <w:rFonts w:ascii="Helvetica" w:hAnsi="Helvetica"/>
          <w:b/>
          <w:bCs/>
          <w:sz w:val="32"/>
          <w:szCs w:val="32"/>
          <w:rtl/>
        </w:rPr>
        <w:t>ئب أن يحاسب وزيراً أو مديراً</w:t>
      </w:r>
      <w:r w:rsidR="00BD7085">
        <w:rPr>
          <w:rFonts w:ascii="Helvetica" w:hAnsi="Helvetica"/>
          <w:b/>
          <w:bCs/>
          <w:sz w:val="32"/>
          <w:szCs w:val="32"/>
        </w:rPr>
        <w:t xml:space="preserve"> </w:t>
      </w:r>
      <w:r w:rsidRPr="00BD7085">
        <w:rPr>
          <w:rFonts w:ascii="Helvetica" w:hAnsi="Helvetica"/>
          <w:b/>
          <w:bCs/>
          <w:sz w:val="32"/>
          <w:szCs w:val="32"/>
          <w:rtl/>
        </w:rPr>
        <w:t>عاماً لا أن يتحول مخبراً</w:t>
      </w:r>
    </w:p>
    <w:bookmarkEnd w:id="0"/>
    <w:p w14:paraId="02157240" w14:textId="132C83B7" w:rsidR="004920EA" w:rsidRDefault="004920EA" w:rsidP="004920EA">
      <w:pPr>
        <w:bidi/>
        <w:rPr>
          <w:rFonts w:ascii="Helvetica" w:hAnsi="Helvetica"/>
          <w:b/>
          <w:bCs/>
          <w:sz w:val="32"/>
          <w:szCs w:val="32"/>
          <w:rtl/>
        </w:rPr>
      </w:pPr>
      <w:r>
        <w:rPr>
          <w:rFonts w:ascii="Helvetica" w:hAnsi="Helvetica" w:hint="cs"/>
          <w:b/>
          <w:bCs/>
          <w:sz w:val="32"/>
          <w:szCs w:val="32"/>
          <w:rtl/>
        </w:rPr>
        <w:t>عصام نعمة إسماعيل</w:t>
      </w:r>
    </w:p>
    <w:p w14:paraId="2DC5D215" w14:textId="7EC95D11" w:rsidR="004920EA" w:rsidRDefault="004920EA" w:rsidP="004920EA">
      <w:pPr>
        <w:bidi/>
        <w:rPr>
          <w:rFonts w:ascii="Helvetica" w:hAnsi="Helvetica"/>
          <w:b/>
          <w:bCs/>
          <w:sz w:val="32"/>
          <w:szCs w:val="32"/>
        </w:rPr>
      </w:pPr>
      <w:r>
        <w:rPr>
          <w:rFonts w:ascii="Helvetica" w:hAnsi="Helvetica" w:hint="cs"/>
          <w:b/>
          <w:bCs/>
          <w:sz w:val="32"/>
          <w:szCs w:val="32"/>
          <w:rtl/>
        </w:rPr>
        <w:t>استاذ في الجامعة اللبنانية</w:t>
      </w:r>
    </w:p>
    <w:p w14:paraId="0E0460B2" w14:textId="30C99834" w:rsidR="004920EA" w:rsidRPr="004920EA" w:rsidRDefault="004920EA" w:rsidP="004920EA">
      <w:pPr>
        <w:bidi/>
        <w:rPr>
          <w:rFonts w:cs="Monotype Koufi"/>
          <w:sz w:val="32"/>
          <w:szCs w:val="32"/>
          <w:lang w:bidi="ar-LB"/>
        </w:rPr>
      </w:pPr>
      <w:r>
        <w:rPr>
          <w:rFonts w:ascii="Helvetica" w:hAnsi="Helvetica" w:hint="cs"/>
          <w:b/>
          <w:bCs/>
          <w:sz w:val="32"/>
          <w:szCs w:val="32"/>
          <w:rtl/>
          <w:lang w:bidi="ar-LB"/>
        </w:rPr>
        <w:t>مقالة منشورة في موقع:</w:t>
      </w:r>
      <w:r>
        <w:rPr>
          <w:rFonts w:ascii="Helvetica" w:hAnsi="Helvetica"/>
          <w:b/>
          <w:bCs/>
          <w:sz w:val="32"/>
          <w:szCs w:val="32"/>
          <w:lang w:bidi="ar-LB"/>
        </w:rPr>
        <w:t>post 180</w:t>
      </w:r>
    </w:p>
    <w:p w14:paraId="6F86F4FF" w14:textId="1E32DFBA" w:rsidR="00B07B3B" w:rsidRDefault="00B07B3B" w:rsidP="00B07B3B">
      <w:pPr>
        <w:bidi/>
        <w:jc w:val="lowKashida"/>
        <w:rPr>
          <w:rFonts w:cs="Simplified Arabic"/>
          <w:sz w:val="28"/>
          <w:szCs w:val="27"/>
          <w:rtl/>
        </w:rPr>
      </w:pPr>
      <w:r>
        <w:rPr>
          <w:rFonts w:cs="Simplified Arabic" w:hint="cs"/>
          <w:sz w:val="28"/>
          <w:szCs w:val="27"/>
          <w:rtl/>
        </w:rPr>
        <w:t xml:space="preserve">إن منح البرلمان سلطة رقابية على الإدارة العامة كان </w:t>
      </w:r>
      <w:r w:rsidR="007418BD">
        <w:rPr>
          <w:rFonts w:cs="Simplified Arabic" w:hint="cs"/>
          <w:sz w:val="28"/>
          <w:szCs w:val="27"/>
          <w:rtl/>
        </w:rPr>
        <w:t>مبرره بالنسبة ل</w:t>
      </w:r>
      <w:r>
        <w:rPr>
          <w:rFonts w:cs="Simplified Arabic" w:hint="cs"/>
          <w:sz w:val="28"/>
          <w:szCs w:val="27"/>
          <w:rtl/>
        </w:rPr>
        <w:t xml:space="preserve">منظري النظام السياسي الحديث، أن القضاء لا يمكنه منفرداً مواجهة  السلطة التنفيذة بما تملكه من امتيازات وقوّة، ولو كان بإمكان القضاء منفرداً </w:t>
      </w:r>
      <w:r w:rsidR="007418BD">
        <w:rPr>
          <w:rFonts w:cs="Simplified Arabic" w:hint="cs"/>
          <w:sz w:val="28"/>
          <w:szCs w:val="27"/>
          <w:rtl/>
        </w:rPr>
        <w:t xml:space="preserve">القيام </w:t>
      </w:r>
      <w:r>
        <w:rPr>
          <w:rFonts w:cs="Simplified Arabic" w:hint="cs"/>
          <w:sz w:val="28"/>
          <w:szCs w:val="27"/>
          <w:rtl/>
        </w:rPr>
        <w:t>بهذه المهمة لانتفت الحاجة إلى الرقابة البرلمانية بل وأيضاً المحاكمة السياسية التي تتولاها جهات قضاء سياسي يمثلها في لبنان المجلس الأعلى لمحاكمة الرؤساء والوزراء.</w:t>
      </w:r>
    </w:p>
    <w:p w14:paraId="5B72CB3C" w14:textId="20BD9B4B" w:rsidR="003A0593" w:rsidRDefault="003A0593" w:rsidP="00B07B3B">
      <w:pPr>
        <w:bidi/>
        <w:jc w:val="lowKashida"/>
        <w:rPr>
          <w:rFonts w:cs="Simplified Arabic"/>
          <w:sz w:val="28"/>
          <w:szCs w:val="27"/>
          <w:rtl/>
        </w:rPr>
      </w:pPr>
      <w:r>
        <w:rPr>
          <w:rFonts w:cs="Simplified Arabic" w:hint="cs"/>
          <w:sz w:val="28"/>
          <w:szCs w:val="27"/>
          <w:rtl/>
        </w:rPr>
        <w:t xml:space="preserve">فالقضاء أياً كان عديده واستقلاليته وشجاعته </w:t>
      </w:r>
      <w:r w:rsidR="007418BD">
        <w:rPr>
          <w:rFonts w:cs="Simplified Arabic" w:hint="cs"/>
          <w:sz w:val="28"/>
          <w:szCs w:val="27"/>
          <w:rtl/>
        </w:rPr>
        <w:t>و</w:t>
      </w:r>
      <w:r>
        <w:rPr>
          <w:rFonts w:cs="Simplified Arabic" w:hint="cs"/>
          <w:sz w:val="28"/>
          <w:szCs w:val="27"/>
          <w:rtl/>
        </w:rPr>
        <w:t xml:space="preserve">مكانته المجتمعية لا يستطيع أن يتصدى منفرداً للفساد أو يقف بمواجهة مع مافيات تملك من القوة والمال والسطوة وأحياناً استطاعت تمرير تشريعات وأنظمة تشرّعن أعمالها وتحميها من المساءلة القضائية. لذا كانت المواجهة الفاعلة تستوجب تعاون وتماسك كافة السلطات الفاعلة لكي تأتي المواجهة </w:t>
      </w:r>
      <w:r w:rsidR="007418BD">
        <w:rPr>
          <w:rFonts w:cs="Simplified Arabic" w:hint="cs"/>
          <w:sz w:val="28"/>
          <w:szCs w:val="27"/>
          <w:rtl/>
        </w:rPr>
        <w:t>ب</w:t>
      </w:r>
      <w:r>
        <w:rPr>
          <w:rFonts w:cs="Simplified Arabic" w:hint="cs"/>
          <w:sz w:val="28"/>
          <w:szCs w:val="27"/>
          <w:rtl/>
        </w:rPr>
        <w:t>مفاعيلها المطلوبة.</w:t>
      </w:r>
    </w:p>
    <w:p w14:paraId="778804C8" w14:textId="1428FA3C" w:rsidR="00062AD8" w:rsidRDefault="00062AD8" w:rsidP="003A0593">
      <w:pPr>
        <w:bidi/>
        <w:jc w:val="lowKashida"/>
        <w:rPr>
          <w:rFonts w:cs="Simplified Arabic"/>
          <w:sz w:val="28"/>
          <w:szCs w:val="27"/>
          <w:rtl/>
        </w:rPr>
      </w:pPr>
      <w:r>
        <w:rPr>
          <w:rFonts w:cs="Simplified Arabic" w:hint="cs"/>
          <w:sz w:val="28"/>
          <w:szCs w:val="27"/>
          <w:rtl/>
        </w:rPr>
        <w:t>ومن هذا المنطق يكون مستغرباً ، تخلي نائب عن واجبه</w:t>
      </w:r>
      <w:r w:rsidR="003A0593">
        <w:rPr>
          <w:rFonts w:cs="Simplified Arabic" w:hint="cs"/>
          <w:sz w:val="28"/>
          <w:szCs w:val="27"/>
          <w:rtl/>
        </w:rPr>
        <w:t xml:space="preserve"> ال</w:t>
      </w:r>
      <w:r>
        <w:rPr>
          <w:rFonts w:cs="Simplified Arabic" w:hint="cs"/>
          <w:sz w:val="28"/>
          <w:szCs w:val="27"/>
          <w:rtl/>
        </w:rPr>
        <w:t>رقابي، وتحوّله إلى مراقب ينتقد في الاعلام مع تحفظنا على النقد المباشر لكون النظام الداخلي لمجلس النواب وضع نظاماً للعلاقة الرسمية بين النائب والوزير والتي تمر عبر رئاسة مجلس النواب ورئاسة الحكومة، بحيث لا يكون الوزير ملزماً بالإجابة على تصريح</w:t>
      </w:r>
      <w:r w:rsidR="007418BD">
        <w:rPr>
          <w:rFonts w:cs="Simplified Arabic" w:hint="cs"/>
          <w:sz w:val="28"/>
          <w:szCs w:val="27"/>
          <w:rtl/>
        </w:rPr>
        <w:t>ٍ</w:t>
      </w:r>
      <w:r>
        <w:rPr>
          <w:rFonts w:cs="Simplified Arabic" w:hint="cs"/>
          <w:sz w:val="28"/>
          <w:szCs w:val="27"/>
          <w:rtl/>
        </w:rPr>
        <w:t xml:space="preserve"> إعلامي وجهه نائب ما لم تتبع الأصول في توجيهه صيغة سؤال أو استجواب أو مساءلة. </w:t>
      </w:r>
    </w:p>
    <w:p w14:paraId="3AB3B305" w14:textId="27808C36" w:rsidR="00060BF3" w:rsidRDefault="00062AD8" w:rsidP="00060BF3">
      <w:pPr>
        <w:bidi/>
        <w:jc w:val="lowKashida"/>
        <w:rPr>
          <w:rFonts w:cs="Simplified Arabic"/>
          <w:sz w:val="28"/>
          <w:szCs w:val="28"/>
          <w:rtl/>
          <w:lang w:bidi="ar-LB"/>
        </w:rPr>
      </w:pPr>
      <w:r>
        <w:rPr>
          <w:rFonts w:cs="Simplified Arabic" w:hint="cs"/>
          <w:sz w:val="28"/>
          <w:szCs w:val="27"/>
          <w:rtl/>
        </w:rPr>
        <w:t xml:space="preserve">ويزداد الأمر خطورة عندما يتحوّل النائب إلى مخبر </w:t>
      </w:r>
      <w:r w:rsidR="00060BF3">
        <w:rPr>
          <w:rFonts w:cs="Simplified Arabic" w:hint="cs"/>
          <w:sz w:val="28"/>
          <w:szCs w:val="27"/>
          <w:rtl/>
        </w:rPr>
        <w:t>يكتفي ب</w:t>
      </w:r>
      <w:r>
        <w:rPr>
          <w:rFonts w:cs="Simplified Arabic" w:hint="cs"/>
          <w:sz w:val="28"/>
          <w:szCs w:val="27"/>
          <w:rtl/>
        </w:rPr>
        <w:t xml:space="preserve">تقدّم بإخبار ضد وزير أو إدارة عامة أمام النيابة العامة التمييزية أو المالية. </w:t>
      </w:r>
      <w:r w:rsidR="00060BF3">
        <w:rPr>
          <w:rFonts w:cs="Simplified Arabic" w:hint="cs"/>
          <w:sz w:val="28"/>
          <w:szCs w:val="27"/>
          <w:rtl/>
        </w:rPr>
        <w:t>وهذا الأمر ليس وظيفته</w:t>
      </w:r>
      <w:r w:rsidR="007418BD">
        <w:rPr>
          <w:rFonts w:cs="Simplified Arabic" w:hint="cs"/>
          <w:sz w:val="28"/>
          <w:szCs w:val="27"/>
          <w:rtl/>
        </w:rPr>
        <w:t xml:space="preserve">، وهو </w:t>
      </w:r>
      <w:r w:rsidR="00060BF3">
        <w:rPr>
          <w:rFonts w:cs="Simplified Arabic" w:hint="cs"/>
          <w:sz w:val="28"/>
          <w:szCs w:val="27"/>
          <w:rtl/>
        </w:rPr>
        <w:t>لم ينتخب لكي يخبر القضاء عن مخالفات</w:t>
      </w:r>
      <w:r w:rsidR="007418BD">
        <w:rPr>
          <w:rFonts w:cs="Simplified Arabic" w:hint="cs"/>
          <w:sz w:val="28"/>
          <w:szCs w:val="27"/>
          <w:rtl/>
        </w:rPr>
        <w:t>، لأنه</w:t>
      </w:r>
      <w:r w:rsidR="00060BF3">
        <w:rPr>
          <w:rFonts w:cs="Simplified Arabic" w:hint="cs"/>
          <w:sz w:val="28"/>
          <w:szCs w:val="27"/>
          <w:rtl/>
        </w:rPr>
        <w:t xml:space="preserve"> يمكن لأي مواطنٍ أن يقوم بهذه المهمة دون أن يحمل لقب نائب</w:t>
      </w:r>
      <w:r w:rsidR="007418BD">
        <w:rPr>
          <w:rFonts w:cs="Simplified Arabic" w:hint="cs"/>
          <w:sz w:val="28"/>
          <w:szCs w:val="27"/>
          <w:rtl/>
        </w:rPr>
        <w:t>.</w:t>
      </w:r>
      <w:r w:rsidR="00060BF3">
        <w:rPr>
          <w:rFonts w:cs="Simplified Arabic" w:hint="cs"/>
          <w:sz w:val="28"/>
          <w:szCs w:val="27"/>
          <w:rtl/>
        </w:rPr>
        <w:t xml:space="preserve"> </w:t>
      </w:r>
      <w:r>
        <w:rPr>
          <w:rFonts w:cs="Simplified Arabic" w:hint="cs"/>
          <w:sz w:val="28"/>
          <w:szCs w:val="27"/>
          <w:rtl/>
        </w:rPr>
        <w:t xml:space="preserve">وكنا نأمل أن </w:t>
      </w:r>
      <w:r w:rsidR="004B3B63">
        <w:rPr>
          <w:rFonts w:cs="Simplified Arabic" w:hint="cs"/>
          <w:sz w:val="28"/>
          <w:szCs w:val="27"/>
          <w:rtl/>
        </w:rPr>
        <w:t>تعمد النيابات العامة إلى ردّ هذه الإخبارات لورودها من جهة تملك وسائل لملاحقة وقمع أي فساد أو خلل في عمل الإدارات العامة</w:t>
      </w:r>
      <w:r w:rsidR="007418BD">
        <w:rPr>
          <w:rFonts w:cs="Simplified Arabic" w:hint="cs"/>
          <w:sz w:val="28"/>
          <w:szCs w:val="27"/>
          <w:rtl/>
        </w:rPr>
        <w:t xml:space="preserve">، وهي بذلك تدفع النائب إلى العمل الفعلي لا الاستعراضي، </w:t>
      </w:r>
      <w:r w:rsidR="004B3B63">
        <w:rPr>
          <w:rFonts w:cs="Simplified Arabic" w:hint="cs"/>
          <w:sz w:val="28"/>
          <w:szCs w:val="27"/>
          <w:rtl/>
        </w:rPr>
        <w:t xml:space="preserve">متماشية بذلك مع موقفٍ حازمٍ لمجلس شورى الدولة </w:t>
      </w:r>
      <w:r w:rsidR="00060BF3">
        <w:rPr>
          <w:rFonts w:cs="Simplified Arabic" w:hint="cs"/>
          <w:sz w:val="28"/>
          <w:szCs w:val="27"/>
          <w:rtl/>
        </w:rPr>
        <w:t xml:space="preserve"> عندما ردّ </w:t>
      </w:r>
      <w:r w:rsidR="00060BF3">
        <w:rPr>
          <w:rFonts w:ascii="Simplified Arabic" w:hAnsi="Simplified Arabic" w:cs="Simplified Arabic" w:hint="cs"/>
          <w:sz w:val="28"/>
          <w:szCs w:val="28"/>
          <w:rtl/>
          <w:lang w:val="fr-FR" w:bidi="ar-LB"/>
        </w:rPr>
        <w:t xml:space="preserve">المراجعة المقدمة من رئيس كتلة نيابية </w:t>
      </w:r>
      <w:r w:rsidR="00060BF3" w:rsidRPr="00157F58">
        <w:rPr>
          <w:rFonts w:ascii="Simplified Arabic" w:hAnsi="Simplified Arabic" w:cs="Simplified Arabic"/>
          <w:sz w:val="28"/>
          <w:szCs w:val="28"/>
          <w:rtl/>
          <w:lang w:val="fr-FR" w:bidi="ar-LB"/>
        </w:rPr>
        <w:t xml:space="preserve"> </w:t>
      </w:r>
      <w:r w:rsidR="00060BF3">
        <w:rPr>
          <w:rFonts w:ascii="Simplified Arabic" w:hAnsi="Simplified Arabic" w:cs="Simplified Arabic" w:hint="cs"/>
          <w:sz w:val="28"/>
          <w:szCs w:val="28"/>
          <w:rtl/>
          <w:lang w:val="fr-FR" w:bidi="ar-LB"/>
        </w:rPr>
        <w:t xml:space="preserve">لإبطال </w:t>
      </w:r>
      <w:r w:rsidR="00060BF3" w:rsidRPr="00157F58">
        <w:rPr>
          <w:rFonts w:ascii="Simplified Arabic" w:hAnsi="Simplified Arabic" w:cs="Simplified Arabic" w:hint="cs"/>
          <w:sz w:val="28"/>
          <w:szCs w:val="28"/>
          <w:rtl/>
          <w:lang w:val="fr-FR" w:bidi="ar-LB"/>
        </w:rPr>
        <w:t xml:space="preserve">قرار مجلس الوزراء </w:t>
      </w:r>
      <w:r w:rsidR="00060BF3">
        <w:rPr>
          <w:rFonts w:ascii="Simplified Arabic" w:hAnsi="Simplified Arabic" w:cs="Simplified Arabic" w:hint="cs"/>
          <w:sz w:val="28"/>
          <w:szCs w:val="28"/>
          <w:rtl/>
          <w:lang w:val="fr-FR" w:bidi="ar-LB"/>
        </w:rPr>
        <w:t xml:space="preserve">الرامي إلى </w:t>
      </w:r>
      <w:r w:rsidR="00060BF3" w:rsidRPr="00157F58">
        <w:rPr>
          <w:rFonts w:ascii="Simplified Arabic" w:hAnsi="Simplified Arabic" w:cs="Simplified Arabic" w:hint="cs"/>
          <w:sz w:val="28"/>
          <w:szCs w:val="28"/>
          <w:rtl/>
          <w:lang w:val="fr-FR" w:bidi="ar-LB"/>
        </w:rPr>
        <w:t>ال</w:t>
      </w:r>
      <w:r w:rsidR="00060BF3" w:rsidRPr="00157F58">
        <w:rPr>
          <w:rFonts w:cs="Simplified Arabic" w:hint="cs"/>
          <w:sz w:val="28"/>
          <w:szCs w:val="28"/>
          <w:rtl/>
          <w:lang w:bidi="ar-LB"/>
        </w:rPr>
        <w:t>طلب الى وزارة الثقافة المديرية العامة للاثار الاشراف على عملية طمر الاثار في المواقع المنوي اعادة البناء فيها في مخيم نهر البارد</w:t>
      </w:r>
      <w:r w:rsidR="00060BF3">
        <w:rPr>
          <w:rFonts w:ascii="Simplified Arabic" w:hAnsi="Simplified Arabic" w:cs="Simplified Arabic" w:hint="cs"/>
          <w:sz w:val="28"/>
          <w:szCs w:val="28"/>
          <w:rtl/>
          <w:lang w:val="fr-FR" w:bidi="ar-LB"/>
        </w:rPr>
        <w:t xml:space="preserve">، حيث قضى المجلس بأن:" </w:t>
      </w:r>
      <w:r w:rsidR="00060BF3">
        <w:rPr>
          <w:rFonts w:cs="Simplified Arabic" w:hint="cs"/>
          <w:sz w:val="28"/>
          <w:szCs w:val="28"/>
          <w:rtl/>
          <w:lang w:val="fr-FR" w:bidi="ar-LB"/>
        </w:rPr>
        <w:t>النظام الديمقراطي البرلماني في لبنان المبني على مسؤولية السلطة الاجرائية امام السلطة التشريعية قد اوجد وحدد الطرق القانونية العائدة للنائب وللنواب من اجل صون مصالح الامة ومراقبة اعمال السلطة الاجرائية أي مساءلة الوزراء افرادياً او الحكومة مجتمعة. ومن اهمها: السؤال او الاستجواب خلال الجلسات النيابية، طلب عدم الثقة او طرح الثقة، طلب التحقيق من قبل لجان نيابية، و</w:t>
      </w:r>
      <w:r w:rsidR="007418BD">
        <w:rPr>
          <w:rFonts w:cs="Simplified Arabic" w:hint="cs"/>
          <w:sz w:val="28"/>
          <w:szCs w:val="28"/>
          <w:rtl/>
          <w:lang w:val="fr-FR" w:bidi="ar-LB"/>
        </w:rPr>
        <w:t xml:space="preserve">أما </w:t>
      </w:r>
      <w:r w:rsidR="00060BF3">
        <w:rPr>
          <w:rFonts w:cs="Simplified Arabic" w:hint="cs"/>
          <w:sz w:val="28"/>
          <w:szCs w:val="28"/>
          <w:rtl/>
          <w:lang w:val="fr-FR" w:bidi="ar-LB"/>
        </w:rPr>
        <w:t xml:space="preserve">مراجعة </w:t>
      </w:r>
      <w:r w:rsidR="007418BD">
        <w:rPr>
          <w:rFonts w:cs="Simplified Arabic" w:hint="cs"/>
          <w:sz w:val="28"/>
          <w:szCs w:val="28"/>
          <w:rtl/>
          <w:lang w:val="fr-FR" w:bidi="ar-LB"/>
        </w:rPr>
        <w:t>القضاء</w:t>
      </w:r>
      <w:r w:rsidR="00060BF3">
        <w:rPr>
          <w:rFonts w:cs="Simplified Arabic" w:hint="cs"/>
          <w:sz w:val="28"/>
          <w:szCs w:val="28"/>
          <w:rtl/>
          <w:lang w:val="fr-FR" w:bidi="ar-LB"/>
        </w:rPr>
        <w:t xml:space="preserve"> </w:t>
      </w:r>
      <w:r w:rsidR="007418BD">
        <w:rPr>
          <w:rFonts w:cs="Simplified Arabic" w:hint="cs"/>
          <w:sz w:val="28"/>
          <w:szCs w:val="28"/>
          <w:rtl/>
          <w:lang w:val="fr-FR" w:bidi="ar-LB"/>
        </w:rPr>
        <w:t>ف</w:t>
      </w:r>
      <w:r w:rsidR="00060BF3">
        <w:rPr>
          <w:rFonts w:cs="Simplified Arabic" w:hint="cs"/>
          <w:sz w:val="28"/>
          <w:szCs w:val="28"/>
          <w:rtl/>
          <w:lang w:val="fr-FR" w:bidi="ar-LB"/>
        </w:rPr>
        <w:t>لا تدخل ضمن هذه الوسائل المكرسة دستوراً او قانوناً (</w:t>
      </w:r>
      <w:r w:rsidR="00060BF3" w:rsidRPr="00157F58">
        <w:rPr>
          <w:rFonts w:cs="Simplified Arabic" w:hint="cs"/>
          <w:sz w:val="28"/>
          <w:szCs w:val="28"/>
          <w:rtl/>
          <w:lang w:bidi="ar-LB"/>
        </w:rPr>
        <w:t xml:space="preserve">م.ش. قرار رقم 553/2009-2010 تاريــخ 8/6/2010 دولة الرئيس النائب العماد ميشال عون/ الدولة </w:t>
      </w:r>
      <w:r w:rsidR="00060BF3" w:rsidRPr="00157F58">
        <w:rPr>
          <w:rFonts w:cs="Simplified Arabic"/>
          <w:sz w:val="28"/>
          <w:szCs w:val="28"/>
          <w:rtl/>
          <w:lang w:bidi="ar-LB"/>
        </w:rPr>
        <w:t>–</w:t>
      </w:r>
      <w:r w:rsidR="00060BF3" w:rsidRPr="00157F58">
        <w:rPr>
          <w:rFonts w:cs="Simplified Arabic" w:hint="cs"/>
          <w:sz w:val="28"/>
          <w:szCs w:val="28"/>
          <w:rtl/>
          <w:lang w:bidi="ar-LB"/>
        </w:rPr>
        <w:t xml:space="preserve"> مجلس الوزراء </w:t>
      </w:r>
      <w:r w:rsidR="00060BF3" w:rsidRPr="00157F58">
        <w:rPr>
          <w:rFonts w:cs="Simplified Arabic"/>
          <w:sz w:val="28"/>
          <w:szCs w:val="28"/>
          <w:rtl/>
          <w:lang w:bidi="ar-LB"/>
        </w:rPr>
        <w:t>–</w:t>
      </w:r>
      <w:r w:rsidR="00060BF3" w:rsidRPr="00157F58">
        <w:rPr>
          <w:rFonts w:cs="Simplified Arabic" w:hint="cs"/>
          <w:sz w:val="28"/>
          <w:szCs w:val="28"/>
          <w:rtl/>
          <w:lang w:bidi="ar-LB"/>
        </w:rPr>
        <w:t xml:space="preserve"> رئاسة مجلس </w:t>
      </w:r>
      <w:r w:rsidR="00060BF3" w:rsidRPr="00157F58">
        <w:rPr>
          <w:rFonts w:cs="Simplified Arabic" w:hint="cs"/>
          <w:sz w:val="28"/>
          <w:szCs w:val="28"/>
          <w:rtl/>
          <w:lang w:bidi="ar-LB"/>
        </w:rPr>
        <w:lastRenderedPageBreak/>
        <w:t xml:space="preserve">الوزراء </w:t>
      </w:r>
      <w:r w:rsidR="00060BF3" w:rsidRPr="00157F58">
        <w:rPr>
          <w:rFonts w:cs="Simplified Arabic"/>
          <w:sz w:val="28"/>
          <w:szCs w:val="28"/>
          <w:rtl/>
          <w:lang w:bidi="ar-LB"/>
        </w:rPr>
        <w:t>–</w:t>
      </w:r>
      <w:r w:rsidR="00060BF3" w:rsidRPr="00157F58">
        <w:rPr>
          <w:rFonts w:cs="Simplified Arabic" w:hint="cs"/>
          <w:sz w:val="28"/>
          <w:szCs w:val="28"/>
          <w:rtl/>
          <w:lang w:bidi="ar-LB"/>
        </w:rPr>
        <w:t xml:space="preserve"> وزارة الثقافة- المديرية العامة للاثار</w:t>
      </w:r>
      <w:r w:rsidR="00060BF3">
        <w:rPr>
          <w:rFonts w:cs="Simplified Arabic" w:hint="cs"/>
          <w:sz w:val="28"/>
          <w:szCs w:val="28"/>
          <w:rtl/>
          <w:lang w:bidi="ar-LB"/>
        </w:rPr>
        <w:t>).</w:t>
      </w:r>
      <w:r w:rsidR="00860FA5">
        <w:rPr>
          <w:rFonts w:cs="Simplified Arabic" w:hint="cs"/>
          <w:sz w:val="28"/>
          <w:szCs w:val="28"/>
          <w:rtl/>
          <w:lang w:bidi="ar-LB"/>
        </w:rPr>
        <w:t xml:space="preserve"> وأكثر ما يثير الاستغراب أن الإخبار يوجه ضد وزير مع علم النائب بأن الوزير لا يخضع للمساءلة أمام القضاء العدلي (المادة 70 من الدستور)، أو يعلم بأن الموظف الملاحق قضائياً سوف تتوقف ملاحقته على إذن مسبق من الإدارة التي ينتمي إليها الموظف (المادة 61 من قانون الموظفين). وبكلا الحالتين فإن بإمكان النائب التحرك ضمن المؤسسة التشريعية بحيث يملك حق المساءلة والاستجواب </w:t>
      </w:r>
      <w:r w:rsidR="003A31CD">
        <w:rPr>
          <w:rFonts w:cs="Simplified Arabic" w:hint="cs"/>
          <w:sz w:val="28"/>
          <w:szCs w:val="28"/>
          <w:rtl/>
          <w:lang w:bidi="ar-LB"/>
        </w:rPr>
        <w:t>وطرح الثقة التي جعلتها المادة 37 من الدستور مطلقة:"</w:t>
      </w:r>
      <w:r w:rsidR="003A31CD">
        <w:rPr>
          <w:rFonts w:ascii="Arabic Transparent" w:eastAsiaTheme="minorHAnsi" w:hAnsi="Arabic Transparent" w:cs="Arabic Transparent"/>
          <w:color w:val="800000"/>
          <w:sz w:val="28"/>
          <w:szCs w:val="28"/>
          <w:rtl/>
        </w:rPr>
        <w:t xml:space="preserve">حق طلب عدم الثقة مطلق لكل نائب في العقود العادية وفي العقود الاستثنائية </w:t>
      </w:r>
      <w:r w:rsidR="003A31CD">
        <w:rPr>
          <w:rFonts w:ascii="Arabic Transparent" w:eastAsiaTheme="minorHAnsi" w:hAnsi="Arabic Transparent" w:cs="Arabic Transparent" w:hint="cs"/>
          <w:color w:val="800000"/>
          <w:sz w:val="28"/>
          <w:szCs w:val="28"/>
          <w:rtl/>
        </w:rPr>
        <w:t xml:space="preserve">". كما أن للنائب حق طلب </w:t>
      </w:r>
      <w:r w:rsidR="00860FA5">
        <w:rPr>
          <w:rFonts w:cs="Simplified Arabic" w:hint="cs"/>
          <w:sz w:val="28"/>
          <w:szCs w:val="28"/>
          <w:rtl/>
          <w:lang w:bidi="ar-LB"/>
        </w:rPr>
        <w:t xml:space="preserve">تشكيل لجان تحقيق </w:t>
      </w:r>
      <w:r w:rsidR="003A31CD">
        <w:rPr>
          <w:rFonts w:cs="Simplified Arabic" w:hint="cs"/>
          <w:sz w:val="28"/>
          <w:szCs w:val="28"/>
          <w:rtl/>
          <w:lang w:bidi="ar-LB"/>
        </w:rPr>
        <w:t xml:space="preserve">وهذه اللجان تملك سلطة </w:t>
      </w:r>
      <w:r w:rsidR="00860FA5">
        <w:rPr>
          <w:rFonts w:cs="Simplified Arabic" w:hint="cs"/>
          <w:sz w:val="28"/>
          <w:szCs w:val="28"/>
          <w:rtl/>
          <w:lang w:bidi="ar-LB"/>
        </w:rPr>
        <w:t xml:space="preserve">دعوة أي وزير أو موظف للمثول </w:t>
      </w:r>
      <w:r w:rsidR="003A31CD">
        <w:rPr>
          <w:rFonts w:cs="Simplified Arabic" w:hint="cs"/>
          <w:sz w:val="28"/>
          <w:szCs w:val="28"/>
          <w:rtl/>
          <w:lang w:bidi="ar-LB"/>
        </w:rPr>
        <w:t xml:space="preserve">أمامها </w:t>
      </w:r>
      <w:r w:rsidR="00860FA5">
        <w:rPr>
          <w:rFonts w:cs="Simplified Arabic" w:hint="cs"/>
          <w:sz w:val="28"/>
          <w:szCs w:val="28"/>
          <w:rtl/>
          <w:lang w:bidi="ar-LB"/>
        </w:rPr>
        <w:t>دون أن يملك المدعو أن يتمسك بحصانة أو ب</w:t>
      </w:r>
      <w:r w:rsidR="003A31CD">
        <w:rPr>
          <w:rFonts w:cs="Simplified Arabic" w:hint="cs"/>
          <w:sz w:val="28"/>
          <w:szCs w:val="28"/>
          <w:rtl/>
          <w:lang w:bidi="ar-LB"/>
        </w:rPr>
        <w:t xml:space="preserve">الحصول على </w:t>
      </w:r>
      <w:r w:rsidR="00860FA5">
        <w:rPr>
          <w:rFonts w:cs="Simplified Arabic" w:hint="cs"/>
          <w:sz w:val="28"/>
          <w:szCs w:val="28"/>
          <w:rtl/>
          <w:lang w:bidi="ar-LB"/>
        </w:rPr>
        <w:t xml:space="preserve">إذن مسبق. </w:t>
      </w:r>
    </w:p>
    <w:p w14:paraId="36A69431" w14:textId="652973BB" w:rsidR="00CE3A19" w:rsidRDefault="00860FA5" w:rsidP="003A31CD">
      <w:pPr>
        <w:tabs>
          <w:tab w:val="left" w:pos="425"/>
        </w:tabs>
        <w:autoSpaceDE w:val="0"/>
        <w:autoSpaceDN w:val="0"/>
        <w:bidi/>
        <w:adjustRightInd w:val="0"/>
        <w:jc w:val="lowKashida"/>
        <w:rPr>
          <w:rFonts w:cs="Simplified Arabic"/>
          <w:color w:val="000000"/>
          <w:sz w:val="28"/>
          <w:szCs w:val="27"/>
          <w:rtl/>
          <w:lang w:bidi="ar-LB"/>
        </w:rPr>
      </w:pPr>
      <w:r>
        <w:rPr>
          <w:rFonts w:cs="Simplified Arabic" w:hint="cs"/>
          <w:color w:val="000000"/>
          <w:sz w:val="28"/>
          <w:szCs w:val="27"/>
          <w:rtl/>
        </w:rPr>
        <w:t xml:space="preserve">بل إن </w:t>
      </w:r>
      <w:r w:rsidRPr="00716F19">
        <w:rPr>
          <w:rFonts w:cs="Simplified Arabic"/>
          <w:color w:val="000000"/>
          <w:sz w:val="28"/>
          <w:szCs w:val="27"/>
          <w:rtl/>
        </w:rPr>
        <w:t>القانون رقم 11/72 تاريخ 25 ايلول 1972</w:t>
      </w:r>
      <w:r>
        <w:rPr>
          <w:rFonts w:cs="Simplified Arabic" w:hint="cs"/>
          <w:color w:val="000000"/>
          <w:sz w:val="28"/>
          <w:szCs w:val="27"/>
          <w:rtl/>
          <w:lang w:bidi="ar-LB"/>
        </w:rPr>
        <w:t xml:space="preserve"> قد صدر ليمنح </w:t>
      </w:r>
      <w:r w:rsidRPr="00716F19">
        <w:rPr>
          <w:rFonts w:cs="Simplified Arabic"/>
          <w:color w:val="000000"/>
          <w:sz w:val="28"/>
          <w:szCs w:val="27"/>
          <w:rtl/>
        </w:rPr>
        <w:t>لجان التحقيق البرلمانية بعض سلطات قضاة التحقيق</w:t>
      </w:r>
      <w:r w:rsidR="003A31CD">
        <w:rPr>
          <w:rFonts w:cs="Simplified Arabic" w:hint="cs"/>
          <w:color w:val="000000"/>
          <w:sz w:val="28"/>
          <w:szCs w:val="27"/>
          <w:rtl/>
        </w:rPr>
        <w:t xml:space="preserve">، حيث ورد </w:t>
      </w:r>
      <w:r w:rsidR="00CE3A19" w:rsidRPr="00716F19">
        <w:rPr>
          <w:rFonts w:cs="Simplified Arabic"/>
          <w:color w:val="000000"/>
          <w:sz w:val="28"/>
          <w:szCs w:val="27"/>
          <w:rtl/>
        </w:rPr>
        <w:t>في المادة الأولى من</w:t>
      </w:r>
      <w:r w:rsidR="00CE3A19">
        <w:rPr>
          <w:rFonts w:cs="Simplified Arabic" w:hint="cs"/>
          <w:color w:val="000000"/>
          <w:sz w:val="28"/>
          <w:szCs w:val="27"/>
          <w:rtl/>
          <w:lang w:bidi="ar-LB"/>
        </w:rPr>
        <w:t xml:space="preserve"> هذا القانون</w:t>
      </w:r>
      <w:r w:rsidR="007418BD">
        <w:rPr>
          <w:rFonts w:cs="Simplified Arabic" w:hint="cs"/>
          <w:color w:val="000000"/>
          <w:sz w:val="28"/>
          <w:szCs w:val="27"/>
          <w:rtl/>
          <w:lang w:bidi="ar-LB"/>
        </w:rPr>
        <w:t xml:space="preserve">: </w:t>
      </w:r>
      <w:r w:rsidR="00CE3A19" w:rsidRPr="00716F19">
        <w:rPr>
          <w:rFonts w:cs="Simplified Arabic"/>
          <w:color w:val="000000"/>
          <w:sz w:val="28"/>
          <w:szCs w:val="27"/>
          <w:rtl/>
        </w:rPr>
        <w:t>أن  لجنة التحقيق النيابية المنتخبة، وفقاً لأحكام المادة 94 من النظام الداخلي لمجلس النواب تتمتع بصلاحيات قضاة التحقيق باستثناء إصدار مذكرات التوقيف والاستنابات القضائية وقرارات الظن أو الاتهام أو منع المحاكمة</w:t>
      </w:r>
      <w:r w:rsidR="003A31CD">
        <w:rPr>
          <w:rFonts w:cs="Simplified Arabic" w:hint="cs"/>
          <w:color w:val="000000"/>
          <w:sz w:val="28"/>
          <w:szCs w:val="27"/>
          <w:rtl/>
        </w:rPr>
        <w:t xml:space="preserve">، وبحسب المادة 2 فإن </w:t>
      </w:r>
      <w:r w:rsidR="00CE3A19" w:rsidRPr="00716F19">
        <w:rPr>
          <w:rFonts w:cs="Simplified Arabic"/>
          <w:color w:val="000000"/>
          <w:sz w:val="28"/>
          <w:szCs w:val="27"/>
          <w:rtl/>
        </w:rPr>
        <w:t>كل من دعي ل</w:t>
      </w:r>
      <w:r w:rsidR="003A31CD">
        <w:rPr>
          <w:rFonts w:cs="Simplified Arabic" w:hint="cs"/>
          <w:color w:val="000000"/>
          <w:sz w:val="28"/>
          <w:szCs w:val="27"/>
          <w:rtl/>
        </w:rPr>
        <w:t>ل</w:t>
      </w:r>
      <w:r w:rsidR="00CE3A19" w:rsidRPr="00716F19">
        <w:rPr>
          <w:rFonts w:cs="Simplified Arabic"/>
          <w:color w:val="000000"/>
          <w:sz w:val="28"/>
          <w:szCs w:val="27"/>
          <w:rtl/>
        </w:rPr>
        <w:t>شهادة أمام</w:t>
      </w:r>
      <w:r w:rsidR="003A31CD">
        <w:rPr>
          <w:rFonts w:cs="Simplified Arabic" w:hint="cs"/>
          <w:color w:val="000000"/>
          <w:sz w:val="28"/>
          <w:szCs w:val="27"/>
          <w:rtl/>
        </w:rPr>
        <w:t xml:space="preserve"> الل</w:t>
      </w:r>
      <w:r w:rsidR="00CE3A19" w:rsidRPr="00716F19">
        <w:rPr>
          <w:rFonts w:cs="Simplified Arabic"/>
          <w:color w:val="000000"/>
          <w:sz w:val="28"/>
          <w:szCs w:val="27"/>
          <w:rtl/>
        </w:rPr>
        <w:t>جنة عليه الحضور وأداء الشهادة بعد حلف اليمين. وتطبق بحق الشهود النصوص القانونية لجهة التخلف عن الحضور أو تقديم العذر الكاذب أو شهادة الزور أو كتم المعلومات وغير ذلك من الأفعال التي تقع تحت طائلة قانون العقوبات.</w:t>
      </w:r>
      <w:r w:rsidR="00CE3A19" w:rsidRPr="00716F19">
        <w:rPr>
          <w:rFonts w:cs="Simplified Arabic" w:hint="cs"/>
          <w:color w:val="000000"/>
          <w:sz w:val="28"/>
          <w:szCs w:val="27"/>
          <w:rtl/>
        </w:rPr>
        <w:t xml:space="preserve"> </w:t>
      </w:r>
    </w:p>
    <w:p w14:paraId="5794C16C" w14:textId="552063A8" w:rsidR="003A31CD" w:rsidRDefault="003A31CD" w:rsidP="00CE3A19">
      <w:pPr>
        <w:tabs>
          <w:tab w:val="left" w:pos="425"/>
        </w:tabs>
        <w:autoSpaceDE w:val="0"/>
        <w:autoSpaceDN w:val="0"/>
        <w:bidi/>
        <w:adjustRightInd w:val="0"/>
        <w:jc w:val="lowKashida"/>
        <w:rPr>
          <w:rFonts w:cs="Simplified Arabic"/>
          <w:color w:val="000000"/>
          <w:sz w:val="28"/>
          <w:szCs w:val="27"/>
          <w:rtl/>
        </w:rPr>
      </w:pPr>
      <w:r>
        <w:rPr>
          <w:rFonts w:cs="Simplified Arabic" w:hint="cs"/>
          <w:color w:val="000000"/>
          <w:sz w:val="28"/>
          <w:szCs w:val="27"/>
          <w:rtl/>
        </w:rPr>
        <w:t>ثمّ أخيراً، فإن مجلس النواب هو من يفترض به أن يتهم الوزير ثمّ يشترك بمحاكمته (المادتان 70 و80 من الدستور) ولا يصحّ بعد النص الصريح التخلي عن المهمة ورمي الكرة في ملعب القضاء وهو غير مختص دستورياً لتولي هذه المهمة</w:t>
      </w:r>
      <w:r w:rsidR="007418BD">
        <w:rPr>
          <w:rFonts w:cs="Simplified Arabic" w:hint="cs"/>
          <w:color w:val="000000"/>
          <w:sz w:val="28"/>
          <w:szCs w:val="27"/>
          <w:rtl/>
        </w:rPr>
        <w:t xml:space="preserve"> فيما خصّ الرؤساء والوزراء</w:t>
      </w:r>
      <w:r>
        <w:rPr>
          <w:rFonts w:cs="Simplified Arabic" w:hint="cs"/>
          <w:color w:val="000000"/>
          <w:sz w:val="28"/>
          <w:szCs w:val="27"/>
          <w:rtl/>
        </w:rPr>
        <w:t>.</w:t>
      </w:r>
    </w:p>
    <w:p w14:paraId="40F1E4B3" w14:textId="77777777" w:rsidR="00CE3A19" w:rsidRPr="00AC20DB" w:rsidRDefault="00CE3A19" w:rsidP="00CE3A19">
      <w:pPr>
        <w:tabs>
          <w:tab w:val="left" w:pos="425"/>
        </w:tabs>
        <w:autoSpaceDE w:val="0"/>
        <w:autoSpaceDN w:val="0"/>
        <w:bidi/>
        <w:adjustRightInd w:val="0"/>
        <w:jc w:val="lowKashida"/>
        <w:rPr>
          <w:rFonts w:ascii="Arabic Transparent" w:cs="Simplified Arabic"/>
          <w:color w:val="000000"/>
          <w:sz w:val="28"/>
          <w:szCs w:val="27"/>
          <w:rtl/>
        </w:rPr>
      </w:pPr>
    </w:p>
    <w:p w14:paraId="3DD50749" w14:textId="71645386" w:rsidR="00F222F1" w:rsidRDefault="00CE3A19" w:rsidP="00CE3A19">
      <w:pPr>
        <w:autoSpaceDE w:val="0"/>
        <w:autoSpaceDN w:val="0"/>
        <w:bidi/>
        <w:adjustRightInd w:val="0"/>
        <w:jc w:val="lowKashida"/>
        <w:rPr>
          <w:rFonts w:ascii="Arabic Transparent" w:cs="Simplified Arabic"/>
          <w:color w:val="000000"/>
          <w:sz w:val="28"/>
          <w:szCs w:val="27"/>
          <w:rtl/>
        </w:rPr>
      </w:pPr>
      <w:r w:rsidRPr="00AC20DB">
        <w:rPr>
          <w:rFonts w:ascii="Arabic Transparent" w:cs="Simplified Arabic" w:hint="cs"/>
          <w:color w:val="000000"/>
          <w:sz w:val="28"/>
          <w:szCs w:val="27"/>
          <w:rtl/>
        </w:rPr>
        <w:t xml:space="preserve">هذه هي باختصارٍ شديد خلاصة الوسائل الرقابية التي باستطاعة النواب اللجوء إليها عند اخلال الحكومة بواجباتها أو عند تقصيرها في المهام التي عليها تنفيذها، أو إذا ارتكبت </w:t>
      </w:r>
      <w:r w:rsidR="00F222F1">
        <w:rPr>
          <w:rFonts w:ascii="Arabic Transparent" w:cs="Simplified Arabic" w:hint="cs"/>
          <w:color w:val="000000"/>
          <w:sz w:val="28"/>
          <w:szCs w:val="27"/>
          <w:rtl/>
        </w:rPr>
        <w:t>إحدى</w:t>
      </w:r>
      <w:r w:rsidR="007418BD">
        <w:rPr>
          <w:rFonts w:ascii="Arabic Transparent" w:cs="Simplified Arabic" w:hint="cs"/>
          <w:color w:val="000000"/>
          <w:sz w:val="28"/>
          <w:szCs w:val="27"/>
          <w:rtl/>
        </w:rPr>
        <w:t xml:space="preserve"> الوزارات أو</w:t>
      </w:r>
      <w:r w:rsidR="00F222F1">
        <w:rPr>
          <w:rFonts w:ascii="Arabic Transparent" w:cs="Simplified Arabic" w:hint="cs"/>
          <w:color w:val="000000"/>
          <w:sz w:val="28"/>
          <w:szCs w:val="27"/>
          <w:rtl/>
        </w:rPr>
        <w:t xml:space="preserve"> الإدارات</w:t>
      </w:r>
      <w:r w:rsidR="007418BD">
        <w:rPr>
          <w:rFonts w:ascii="Arabic Transparent" w:cs="Simplified Arabic" w:hint="cs"/>
          <w:color w:val="000000"/>
          <w:sz w:val="28"/>
          <w:szCs w:val="27"/>
          <w:rtl/>
        </w:rPr>
        <w:t xml:space="preserve"> أو المؤسسات العامة</w:t>
      </w:r>
      <w:r w:rsidR="00F222F1">
        <w:rPr>
          <w:rFonts w:ascii="Arabic Transparent" w:cs="Simplified Arabic" w:hint="cs"/>
          <w:color w:val="000000"/>
          <w:sz w:val="28"/>
          <w:szCs w:val="27"/>
          <w:rtl/>
        </w:rPr>
        <w:t xml:space="preserve"> </w:t>
      </w:r>
      <w:r w:rsidRPr="00AC20DB">
        <w:rPr>
          <w:rFonts w:ascii="Arabic Transparent" w:cs="Simplified Arabic" w:hint="cs"/>
          <w:color w:val="000000"/>
          <w:sz w:val="28"/>
          <w:szCs w:val="27"/>
          <w:rtl/>
        </w:rPr>
        <w:t xml:space="preserve">عملاً يخلَّ بالأمن الاجتماعي </w:t>
      </w:r>
      <w:r w:rsidR="007418BD">
        <w:rPr>
          <w:rFonts w:ascii="Arabic Transparent" w:cs="Simplified Arabic" w:hint="cs"/>
          <w:color w:val="000000"/>
          <w:sz w:val="28"/>
          <w:szCs w:val="27"/>
          <w:rtl/>
        </w:rPr>
        <w:t>أو المالي أ</w:t>
      </w:r>
      <w:r w:rsidRPr="00AC20DB">
        <w:rPr>
          <w:rFonts w:ascii="Arabic Transparent" w:cs="Simplified Arabic" w:hint="cs"/>
          <w:color w:val="000000"/>
          <w:sz w:val="28"/>
          <w:szCs w:val="27"/>
          <w:rtl/>
        </w:rPr>
        <w:t>و</w:t>
      </w:r>
      <w:r w:rsidR="007418BD">
        <w:rPr>
          <w:rFonts w:ascii="Arabic Transparent" w:cs="Simplified Arabic" w:hint="cs"/>
          <w:color w:val="000000"/>
          <w:sz w:val="28"/>
          <w:szCs w:val="27"/>
          <w:rtl/>
        </w:rPr>
        <w:t xml:space="preserve"> </w:t>
      </w:r>
      <w:r w:rsidRPr="00AC20DB">
        <w:rPr>
          <w:rFonts w:ascii="Arabic Transparent" w:cs="Simplified Arabic" w:hint="cs"/>
          <w:color w:val="000000"/>
          <w:sz w:val="28"/>
          <w:szCs w:val="27"/>
          <w:rtl/>
        </w:rPr>
        <w:t>الاقتصادي للدولة</w:t>
      </w:r>
      <w:r w:rsidR="00F222F1">
        <w:rPr>
          <w:rFonts w:ascii="Arabic Transparent" w:cs="Simplified Arabic" w:hint="cs"/>
          <w:color w:val="000000"/>
          <w:sz w:val="28"/>
          <w:szCs w:val="27"/>
          <w:rtl/>
        </w:rPr>
        <w:t xml:space="preserve">، واليوم في ظل الوباء وغلاء الأسعار والتلاعب بالعملة وتهريب الأموال لا يحق للنائب أن يكتفي بالفرجة أو بتقديم إخبار رفع عتب، بل على النواب التحرك الجاد والفاعل لمساءلة وملاحقة وإلزام الحكومة بكف يد أي موظف يخل بواجباته ولا يحمي النقد ولا يلاحق المتلاعبين بالأسعار ولا يقمع من سطى على المال العام، وللنائب أن يطلب من الحكومة باتخاذ التدابير تحت طائلة حجب </w:t>
      </w:r>
      <w:r w:rsidR="002A5C5D">
        <w:rPr>
          <w:rFonts w:ascii="Arabic Transparent" w:cs="Simplified Arabic" w:hint="cs"/>
          <w:color w:val="000000"/>
          <w:sz w:val="28"/>
          <w:szCs w:val="27"/>
          <w:rtl/>
        </w:rPr>
        <w:t xml:space="preserve">الثقة </w:t>
      </w:r>
      <w:r w:rsidR="00F222F1">
        <w:rPr>
          <w:rFonts w:ascii="Arabic Transparent" w:cs="Simplified Arabic" w:hint="cs"/>
          <w:color w:val="000000"/>
          <w:sz w:val="28"/>
          <w:szCs w:val="27"/>
          <w:rtl/>
        </w:rPr>
        <w:t>عن</w:t>
      </w:r>
      <w:r w:rsidR="007418BD">
        <w:rPr>
          <w:rFonts w:ascii="Arabic Transparent" w:cs="Simplified Arabic" w:hint="cs"/>
          <w:color w:val="000000"/>
          <w:sz w:val="28"/>
          <w:szCs w:val="27"/>
          <w:rtl/>
        </w:rPr>
        <w:t>ها</w:t>
      </w:r>
      <w:r w:rsidR="00F222F1">
        <w:rPr>
          <w:rFonts w:ascii="Arabic Transparent" w:cs="Simplified Arabic" w:hint="cs"/>
          <w:color w:val="000000"/>
          <w:sz w:val="28"/>
          <w:szCs w:val="27"/>
          <w:rtl/>
        </w:rPr>
        <w:t xml:space="preserve"> أو </w:t>
      </w:r>
      <w:r w:rsidR="007418BD">
        <w:rPr>
          <w:rFonts w:ascii="Arabic Transparent" w:cs="Simplified Arabic" w:hint="cs"/>
          <w:color w:val="000000"/>
          <w:sz w:val="28"/>
          <w:szCs w:val="27"/>
          <w:rtl/>
        </w:rPr>
        <w:t xml:space="preserve">عن </w:t>
      </w:r>
      <w:r w:rsidR="00F222F1">
        <w:rPr>
          <w:rFonts w:ascii="Arabic Transparent" w:cs="Simplified Arabic" w:hint="cs"/>
          <w:color w:val="000000"/>
          <w:sz w:val="28"/>
          <w:szCs w:val="27"/>
          <w:rtl/>
        </w:rPr>
        <w:t>الوزير الذي ي</w:t>
      </w:r>
      <w:r w:rsidR="002A5C5D">
        <w:rPr>
          <w:rFonts w:ascii="Arabic Transparent" w:cs="Simplified Arabic" w:hint="cs"/>
          <w:color w:val="000000"/>
          <w:sz w:val="28"/>
          <w:szCs w:val="27"/>
          <w:rtl/>
        </w:rPr>
        <w:t>متنع عن تلبية المطالب النيابية ويقصّر بواجباته.</w:t>
      </w:r>
    </w:p>
    <w:p w14:paraId="1ADF7554" w14:textId="21EBC509" w:rsidR="00CE3A19" w:rsidRDefault="00F222F1" w:rsidP="00F222F1">
      <w:pPr>
        <w:autoSpaceDE w:val="0"/>
        <w:autoSpaceDN w:val="0"/>
        <w:bidi/>
        <w:adjustRightInd w:val="0"/>
        <w:jc w:val="lowKashida"/>
        <w:rPr>
          <w:rFonts w:ascii="Arabic Transparent" w:cs="Simplified Arabic"/>
          <w:color w:val="000000"/>
          <w:sz w:val="28"/>
          <w:szCs w:val="27"/>
          <w:rtl/>
          <w:lang w:bidi="ar-LB"/>
        </w:rPr>
      </w:pPr>
      <w:r>
        <w:rPr>
          <w:rFonts w:ascii="Arabic Transparent" w:cs="Simplified Arabic" w:hint="cs"/>
          <w:color w:val="000000"/>
          <w:sz w:val="28"/>
          <w:szCs w:val="27"/>
          <w:rtl/>
        </w:rPr>
        <w:t xml:space="preserve"> </w:t>
      </w:r>
      <w:r w:rsidR="00CE3A19" w:rsidRPr="00AC20DB">
        <w:rPr>
          <w:rFonts w:ascii="Arabic Transparent" w:cs="Simplified Arabic" w:hint="cs"/>
          <w:color w:val="000000"/>
          <w:sz w:val="28"/>
          <w:szCs w:val="27"/>
          <w:rtl/>
        </w:rPr>
        <w:t>ه</w:t>
      </w:r>
      <w:r w:rsidR="007418BD">
        <w:rPr>
          <w:rFonts w:ascii="Arabic Transparent" w:cs="Simplified Arabic" w:hint="cs"/>
          <w:color w:val="000000"/>
          <w:sz w:val="28"/>
          <w:szCs w:val="27"/>
          <w:rtl/>
        </w:rPr>
        <w:t xml:space="preserve">ذه هي </w:t>
      </w:r>
      <w:r w:rsidR="00CE3A19" w:rsidRPr="00AC20DB">
        <w:rPr>
          <w:rFonts w:ascii="Arabic Transparent" w:cs="Simplified Arabic" w:hint="cs"/>
          <w:color w:val="000000"/>
          <w:sz w:val="28"/>
          <w:szCs w:val="27"/>
          <w:rtl/>
        </w:rPr>
        <w:t>واجبات النائب</w:t>
      </w:r>
      <w:r w:rsidR="007418BD">
        <w:rPr>
          <w:rFonts w:ascii="Arabic Transparent" w:cs="Simplified Arabic" w:hint="cs"/>
          <w:color w:val="000000"/>
          <w:sz w:val="28"/>
          <w:szCs w:val="27"/>
          <w:rtl/>
        </w:rPr>
        <w:t>، و</w:t>
      </w:r>
      <w:r w:rsidR="00CE3A19" w:rsidRPr="00AC20DB">
        <w:rPr>
          <w:rFonts w:ascii="Arabic Transparent" w:cs="Simplified Arabic" w:hint="cs"/>
          <w:color w:val="000000"/>
          <w:sz w:val="28"/>
          <w:szCs w:val="27"/>
          <w:rtl/>
        </w:rPr>
        <w:t>الدور الرقابي الذي يملكه لم يمنحه إياه المشترع كوسيلة ترفٍ وتسلية، بل وُجدت هذه الوسائل، من أجل إعطاء الرقابة البرلمانية الفعالية الكاملة. وأن تكون ا</w:t>
      </w:r>
      <w:r w:rsidR="007418BD">
        <w:rPr>
          <w:rFonts w:ascii="Arabic Transparent" w:cs="Simplified Arabic" w:hint="cs"/>
          <w:color w:val="000000"/>
          <w:sz w:val="28"/>
          <w:szCs w:val="27"/>
          <w:rtl/>
        </w:rPr>
        <w:t>لإدارة</w:t>
      </w:r>
      <w:r w:rsidR="00CE3A19" w:rsidRPr="00AC20DB">
        <w:rPr>
          <w:rFonts w:ascii="Arabic Transparent" w:cs="Simplified Arabic" w:hint="cs"/>
          <w:color w:val="000000"/>
          <w:sz w:val="28"/>
          <w:szCs w:val="27"/>
          <w:rtl/>
        </w:rPr>
        <w:t xml:space="preserve"> حذرة دائماً في نشاطها من سطوةِ </w:t>
      </w:r>
      <w:r w:rsidR="00CE3A19" w:rsidRPr="00AC20DB">
        <w:rPr>
          <w:rFonts w:ascii="Arabic Transparent" w:cs="Simplified Arabic" w:hint="cs"/>
          <w:color w:val="000000"/>
          <w:sz w:val="28"/>
          <w:szCs w:val="27"/>
          <w:rtl/>
        </w:rPr>
        <w:lastRenderedPageBreak/>
        <w:t>نائبٍ يقف لها بالمرصاد. وإذا ما تخلى النائب عن ممارسة هذا الدور الرقابي فإن</w:t>
      </w:r>
      <w:r w:rsidR="00CE3A19">
        <w:rPr>
          <w:rFonts w:ascii="Arabic Transparent" w:cs="Simplified Arabic" w:hint="cs"/>
          <w:color w:val="000000"/>
          <w:sz w:val="28"/>
          <w:szCs w:val="27"/>
          <w:rtl/>
          <w:lang w:bidi="ar-LB"/>
        </w:rPr>
        <w:t>ه</w:t>
      </w:r>
      <w:r w:rsidR="00CE3A19" w:rsidRPr="00AC20DB">
        <w:rPr>
          <w:rFonts w:ascii="Arabic Transparent" w:cs="Simplified Arabic" w:hint="cs"/>
          <w:color w:val="000000"/>
          <w:sz w:val="28"/>
          <w:szCs w:val="27"/>
          <w:rtl/>
        </w:rPr>
        <w:t xml:space="preserve"> يكون قد أساء للشعب الذي منحه ثقته وأتمنه على مصيره.</w:t>
      </w:r>
      <w:r w:rsidR="00CE3A19">
        <w:rPr>
          <w:rFonts w:ascii="Arabic Transparent" w:cs="Simplified Arabic" w:hint="cs"/>
          <w:color w:val="000000"/>
          <w:sz w:val="28"/>
          <w:szCs w:val="27"/>
          <w:rtl/>
          <w:lang w:bidi="ar-LB"/>
        </w:rPr>
        <w:t xml:space="preserve"> </w:t>
      </w:r>
    </w:p>
    <w:p w14:paraId="6D29F052" w14:textId="094F9CA7" w:rsidR="00FA1731" w:rsidRDefault="00FA1731" w:rsidP="00CE3A19">
      <w:pPr>
        <w:bidi/>
        <w:rPr>
          <w:rtl/>
          <w:lang w:bidi="ar-LB"/>
        </w:rPr>
      </w:pPr>
    </w:p>
    <w:p w14:paraId="4E396F36" w14:textId="0C6C3B78" w:rsidR="004920EA" w:rsidRDefault="004920EA" w:rsidP="004920EA">
      <w:pPr>
        <w:bidi/>
        <w:rPr>
          <w:rtl/>
          <w:lang w:bidi="ar-LB"/>
        </w:rPr>
      </w:pPr>
    </w:p>
    <w:p w14:paraId="2F321DB2" w14:textId="0092A634" w:rsidR="004920EA" w:rsidRDefault="0023257F" w:rsidP="004920EA">
      <w:pPr>
        <w:bidi/>
        <w:rPr>
          <w:lang w:bidi="ar-LB"/>
        </w:rPr>
      </w:pPr>
      <w:hyperlink r:id="rId6" w:history="1">
        <w:r w:rsidR="004920EA">
          <w:rPr>
            <w:rStyle w:val="Hyperlink"/>
          </w:rPr>
          <w:t>https://180post.com/archives/10562</w:t>
        </w:r>
      </w:hyperlink>
    </w:p>
    <w:sectPr w:rsidR="004920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368F7" w14:textId="77777777" w:rsidR="0023257F" w:rsidRDefault="0023257F" w:rsidP="00CE3A19">
      <w:r>
        <w:separator/>
      </w:r>
    </w:p>
  </w:endnote>
  <w:endnote w:type="continuationSeparator" w:id="0">
    <w:p w14:paraId="58387401" w14:textId="77777777" w:rsidR="0023257F" w:rsidRDefault="0023257F" w:rsidP="00CE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did04 Bold">
    <w:altName w:val="Arial"/>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651F3" w14:textId="77777777" w:rsidR="0023257F" w:rsidRDefault="0023257F" w:rsidP="00CE3A19">
      <w:r>
        <w:separator/>
      </w:r>
    </w:p>
  </w:footnote>
  <w:footnote w:type="continuationSeparator" w:id="0">
    <w:p w14:paraId="1FC84144" w14:textId="77777777" w:rsidR="0023257F" w:rsidRDefault="0023257F" w:rsidP="00CE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19"/>
    <w:rsid w:val="00060BF3"/>
    <w:rsid w:val="00062AD8"/>
    <w:rsid w:val="00153D0E"/>
    <w:rsid w:val="0023257F"/>
    <w:rsid w:val="002A5C5D"/>
    <w:rsid w:val="00355A3B"/>
    <w:rsid w:val="003A0593"/>
    <w:rsid w:val="003A31CD"/>
    <w:rsid w:val="004920EA"/>
    <w:rsid w:val="004B3B63"/>
    <w:rsid w:val="007418BD"/>
    <w:rsid w:val="0080484D"/>
    <w:rsid w:val="00842A36"/>
    <w:rsid w:val="00860FA5"/>
    <w:rsid w:val="0096195F"/>
    <w:rsid w:val="00A21E09"/>
    <w:rsid w:val="00B07B3B"/>
    <w:rsid w:val="00BD7085"/>
    <w:rsid w:val="00CE3A19"/>
    <w:rsid w:val="00F222F1"/>
    <w:rsid w:val="00FA17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E581"/>
  <w15:chartTrackingRefBased/>
  <w15:docId w15:val="{3715AB8C-E777-4A0A-8178-A465383A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A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3A19"/>
    <w:pPr>
      <w:keepNext/>
      <w:bidi/>
      <w:outlineLvl w:val="0"/>
    </w:pPr>
    <w:rPr>
      <w:b/>
      <w:bCs/>
    </w:rPr>
  </w:style>
  <w:style w:type="paragraph" w:styleId="Heading2">
    <w:name w:val="heading 2"/>
    <w:basedOn w:val="Normal"/>
    <w:next w:val="Normal"/>
    <w:link w:val="Heading2Char"/>
    <w:qFormat/>
    <w:rsid w:val="00CE3A19"/>
    <w:pPr>
      <w:keepNext/>
      <w:bidi/>
      <w:spacing w:before="240" w:after="60"/>
      <w:outlineLvl w:val="1"/>
    </w:pPr>
    <w:rPr>
      <w:rFonts w:ascii="Arial" w:hAnsi="Arial" w:cs="Arial"/>
      <w:b/>
      <w:bCs/>
      <w:i/>
      <w:iCs/>
      <w:sz w:val="28"/>
      <w:szCs w:val="28"/>
      <w:lang w:bidi="ar-LB"/>
    </w:rPr>
  </w:style>
  <w:style w:type="paragraph" w:styleId="Heading3">
    <w:name w:val="heading 3"/>
    <w:basedOn w:val="Normal"/>
    <w:next w:val="Normal"/>
    <w:link w:val="Heading3Char"/>
    <w:qFormat/>
    <w:rsid w:val="00CE3A19"/>
    <w:pPr>
      <w:keepNext/>
      <w:bidi/>
      <w:ind w:firstLine="720"/>
      <w:jc w:val="both"/>
      <w:outlineLvl w:val="2"/>
    </w:pPr>
    <w:rPr>
      <w:rFonts w:cs="Jadid04 Bold"/>
      <w:sz w:val="34"/>
      <w:szCs w:val="32"/>
    </w:rPr>
  </w:style>
  <w:style w:type="paragraph" w:styleId="Heading4">
    <w:name w:val="heading 4"/>
    <w:basedOn w:val="Normal"/>
    <w:next w:val="Normal"/>
    <w:link w:val="Heading4Char"/>
    <w:qFormat/>
    <w:rsid w:val="00CE3A19"/>
    <w:pPr>
      <w:keepNext/>
      <w:spacing w:before="240" w:after="60"/>
      <w:outlineLvl w:val="3"/>
    </w:pPr>
    <w:rPr>
      <w:b/>
      <w:bCs/>
      <w:sz w:val="28"/>
      <w:szCs w:val="28"/>
    </w:rPr>
  </w:style>
  <w:style w:type="paragraph" w:styleId="Heading5">
    <w:name w:val="heading 5"/>
    <w:basedOn w:val="Normal"/>
    <w:next w:val="Normal"/>
    <w:link w:val="Heading5Char"/>
    <w:qFormat/>
    <w:rsid w:val="00CE3A19"/>
    <w:pPr>
      <w:keepNext/>
      <w:bidi/>
      <w:jc w:val="center"/>
      <w:outlineLvl w:val="4"/>
    </w:pPr>
    <w:rPr>
      <w:rFonts w:ascii="Book Antiqua" w:hAnsi="Book Antiqua" w:cs="Simplified Arabic"/>
      <w:b/>
      <w:bCs/>
      <w:i/>
      <w:iCs/>
      <w:sz w:val="28"/>
      <w:szCs w:val="28"/>
      <w:u w:val="single"/>
    </w:rPr>
  </w:style>
  <w:style w:type="paragraph" w:styleId="Heading6">
    <w:name w:val="heading 6"/>
    <w:basedOn w:val="Normal"/>
    <w:next w:val="Normal"/>
    <w:link w:val="Heading6Char"/>
    <w:qFormat/>
    <w:rsid w:val="00CE3A1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3A1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E3A19"/>
    <w:rPr>
      <w:rFonts w:ascii="Arial" w:eastAsia="Times New Roman" w:hAnsi="Arial" w:cs="Arial"/>
      <w:b/>
      <w:bCs/>
      <w:i/>
      <w:iCs/>
      <w:sz w:val="28"/>
      <w:szCs w:val="28"/>
      <w:lang w:bidi="ar-LB"/>
    </w:rPr>
  </w:style>
  <w:style w:type="character" w:customStyle="1" w:styleId="Heading3Char">
    <w:name w:val="Heading 3 Char"/>
    <w:basedOn w:val="DefaultParagraphFont"/>
    <w:link w:val="Heading3"/>
    <w:rsid w:val="00CE3A19"/>
    <w:rPr>
      <w:rFonts w:ascii="Times New Roman" w:eastAsia="Times New Roman" w:hAnsi="Times New Roman" w:cs="Jadid04 Bold"/>
      <w:sz w:val="34"/>
      <w:szCs w:val="32"/>
    </w:rPr>
  </w:style>
  <w:style w:type="character" w:customStyle="1" w:styleId="Heading4Char">
    <w:name w:val="Heading 4 Char"/>
    <w:basedOn w:val="DefaultParagraphFont"/>
    <w:link w:val="Heading4"/>
    <w:rsid w:val="00CE3A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E3A19"/>
    <w:rPr>
      <w:rFonts w:ascii="Book Antiqua" w:eastAsia="Times New Roman" w:hAnsi="Book Antiqua" w:cs="Simplified Arabic"/>
      <w:b/>
      <w:bCs/>
      <w:i/>
      <w:iCs/>
      <w:sz w:val="28"/>
      <w:szCs w:val="28"/>
      <w:u w:val="single"/>
    </w:rPr>
  </w:style>
  <w:style w:type="character" w:customStyle="1" w:styleId="Heading6Char">
    <w:name w:val="Heading 6 Char"/>
    <w:basedOn w:val="DefaultParagraphFont"/>
    <w:link w:val="Heading6"/>
    <w:rsid w:val="00CE3A19"/>
    <w:rPr>
      <w:rFonts w:ascii="Times New Roman" w:eastAsia="Times New Roman" w:hAnsi="Times New Roman" w:cs="Times New Roman"/>
      <w:b/>
      <w:bCs/>
    </w:rPr>
  </w:style>
  <w:style w:type="character" w:styleId="FootnoteReference">
    <w:name w:val="footnote reference"/>
    <w:basedOn w:val="DefaultParagraphFont"/>
    <w:semiHidden/>
    <w:rsid w:val="00CE3A19"/>
    <w:rPr>
      <w:vertAlign w:val="superscript"/>
    </w:rPr>
  </w:style>
  <w:style w:type="paragraph" w:styleId="FootnoteText">
    <w:name w:val="footnote text"/>
    <w:basedOn w:val="Normal"/>
    <w:link w:val="FootnoteTextChar"/>
    <w:semiHidden/>
    <w:rsid w:val="00CE3A19"/>
    <w:rPr>
      <w:rFonts w:eastAsia="SimSun"/>
      <w:sz w:val="20"/>
      <w:szCs w:val="20"/>
      <w:lang w:eastAsia="zh-CN"/>
    </w:rPr>
  </w:style>
  <w:style w:type="character" w:customStyle="1" w:styleId="FootnoteTextChar">
    <w:name w:val="Footnote Text Char"/>
    <w:basedOn w:val="DefaultParagraphFont"/>
    <w:link w:val="FootnoteText"/>
    <w:semiHidden/>
    <w:rsid w:val="00CE3A19"/>
    <w:rPr>
      <w:rFonts w:ascii="Times New Roman" w:eastAsia="SimSun" w:hAnsi="Times New Roman" w:cs="Times New Roman"/>
      <w:sz w:val="20"/>
      <w:szCs w:val="20"/>
      <w:lang w:eastAsia="zh-CN"/>
    </w:rPr>
  </w:style>
  <w:style w:type="paragraph" w:styleId="Title">
    <w:name w:val="Title"/>
    <w:basedOn w:val="Normal"/>
    <w:link w:val="TitleChar"/>
    <w:qFormat/>
    <w:rsid w:val="00CE3A19"/>
    <w:pPr>
      <w:bidi/>
      <w:jc w:val="center"/>
    </w:pPr>
    <w:rPr>
      <w:rFonts w:cs="Simplified Arabic"/>
      <w:b/>
      <w:bCs/>
      <w:sz w:val="28"/>
      <w:szCs w:val="28"/>
    </w:rPr>
  </w:style>
  <w:style w:type="character" w:customStyle="1" w:styleId="TitleChar">
    <w:name w:val="Title Char"/>
    <w:basedOn w:val="DefaultParagraphFont"/>
    <w:link w:val="Title"/>
    <w:rsid w:val="00CE3A19"/>
    <w:rPr>
      <w:rFonts w:ascii="Times New Roman" w:eastAsia="Times New Roman" w:hAnsi="Times New Roman" w:cs="Simplified Arabic"/>
      <w:b/>
      <w:bCs/>
      <w:sz w:val="28"/>
      <w:szCs w:val="28"/>
    </w:rPr>
  </w:style>
  <w:style w:type="paragraph" w:styleId="Subtitle">
    <w:name w:val="Subtitle"/>
    <w:basedOn w:val="Normal"/>
    <w:link w:val="SubtitleChar"/>
    <w:qFormat/>
    <w:rsid w:val="00CE3A19"/>
    <w:pPr>
      <w:bidi/>
      <w:jc w:val="both"/>
    </w:pPr>
    <w:rPr>
      <w:rFonts w:cs="Simplified Arabic"/>
      <w:b/>
      <w:bCs/>
      <w:sz w:val="32"/>
      <w:szCs w:val="30"/>
    </w:rPr>
  </w:style>
  <w:style w:type="character" w:customStyle="1" w:styleId="SubtitleChar">
    <w:name w:val="Subtitle Char"/>
    <w:basedOn w:val="DefaultParagraphFont"/>
    <w:link w:val="Subtitle"/>
    <w:rsid w:val="00CE3A19"/>
    <w:rPr>
      <w:rFonts w:ascii="Times New Roman" w:eastAsia="Times New Roman" w:hAnsi="Times New Roman" w:cs="Simplified Arabic"/>
      <w:b/>
      <w:bCs/>
      <w:sz w:val="32"/>
      <w:szCs w:val="30"/>
    </w:rPr>
  </w:style>
  <w:style w:type="paragraph" w:styleId="Footer">
    <w:name w:val="footer"/>
    <w:basedOn w:val="Normal"/>
    <w:link w:val="FooterChar"/>
    <w:rsid w:val="00CE3A19"/>
    <w:pPr>
      <w:tabs>
        <w:tab w:val="center" w:pos="4153"/>
        <w:tab w:val="right" w:pos="8306"/>
      </w:tabs>
    </w:pPr>
  </w:style>
  <w:style w:type="character" w:customStyle="1" w:styleId="FooterChar">
    <w:name w:val="Footer Char"/>
    <w:basedOn w:val="DefaultParagraphFont"/>
    <w:link w:val="Footer"/>
    <w:rsid w:val="00CE3A19"/>
    <w:rPr>
      <w:rFonts w:ascii="Times New Roman" w:eastAsia="Times New Roman" w:hAnsi="Times New Roman" w:cs="Times New Roman"/>
      <w:sz w:val="24"/>
      <w:szCs w:val="24"/>
    </w:rPr>
  </w:style>
  <w:style w:type="character" w:styleId="PageNumber">
    <w:name w:val="page number"/>
    <w:basedOn w:val="DefaultParagraphFont"/>
    <w:rsid w:val="00CE3A19"/>
  </w:style>
  <w:style w:type="paragraph" w:styleId="BodyText">
    <w:name w:val="Body Text"/>
    <w:basedOn w:val="Normal"/>
    <w:link w:val="BodyTextChar"/>
    <w:rsid w:val="00CE3A19"/>
    <w:pPr>
      <w:bidi/>
      <w:jc w:val="lowKashida"/>
    </w:pPr>
    <w:rPr>
      <w:rFonts w:cs="Traditional Arabic"/>
      <w:noProof/>
      <w:sz w:val="20"/>
      <w:szCs w:val="32"/>
    </w:rPr>
  </w:style>
  <w:style w:type="character" w:customStyle="1" w:styleId="BodyTextChar">
    <w:name w:val="Body Text Char"/>
    <w:basedOn w:val="DefaultParagraphFont"/>
    <w:link w:val="BodyText"/>
    <w:rsid w:val="00CE3A19"/>
    <w:rPr>
      <w:rFonts w:ascii="Times New Roman" w:eastAsia="Times New Roman" w:hAnsi="Times New Roman" w:cs="Traditional Arabic"/>
      <w:noProof/>
      <w:sz w:val="20"/>
      <w:szCs w:val="32"/>
    </w:rPr>
  </w:style>
  <w:style w:type="paragraph" w:styleId="NormalWeb">
    <w:name w:val="Normal (Web)"/>
    <w:basedOn w:val="Normal"/>
    <w:rsid w:val="00CE3A19"/>
    <w:pPr>
      <w:spacing w:before="100" w:beforeAutospacing="1" w:after="100" w:afterAutospacing="1"/>
    </w:pPr>
    <w:rPr>
      <w:rFonts w:ascii="Arial" w:hAnsi="Arial" w:cs="Arial"/>
      <w:color w:val="000000"/>
      <w:sz w:val="17"/>
      <w:szCs w:val="17"/>
      <w:lang w:bidi="ar-LB"/>
    </w:rPr>
  </w:style>
  <w:style w:type="paragraph" w:styleId="BodyText2">
    <w:name w:val="Body Text 2"/>
    <w:basedOn w:val="Normal"/>
    <w:link w:val="BodyText2Char"/>
    <w:rsid w:val="00CE3A19"/>
    <w:pPr>
      <w:bidi/>
      <w:spacing w:after="120" w:line="480" w:lineRule="auto"/>
    </w:pPr>
    <w:rPr>
      <w:lang w:bidi="ar-LB"/>
    </w:rPr>
  </w:style>
  <w:style w:type="character" w:customStyle="1" w:styleId="BodyText2Char">
    <w:name w:val="Body Text 2 Char"/>
    <w:basedOn w:val="DefaultParagraphFont"/>
    <w:link w:val="BodyText2"/>
    <w:rsid w:val="00CE3A19"/>
    <w:rPr>
      <w:rFonts w:ascii="Times New Roman" w:eastAsia="Times New Roman" w:hAnsi="Times New Roman" w:cs="Times New Roman"/>
      <w:sz w:val="24"/>
      <w:szCs w:val="24"/>
      <w:lang w:bidi="ar-LB"/>
    </w:rPr>
  </w:style>
  <w:style w:type="character" w:styleId="Strong">
    <w:name w:val="Strong"/>
    <w:basedOn w:val="DefaultParagraphFont"/>
    <w:qFormat/>
    <w:rsid w:val="00CE3A19"/>
    <w:rPr>
      <w:b/>
      <w:bCs/>
    </w:rPr>
  </w:style>
  <w:style w:type="paragraph" w:styleId="Header">
    <w:name w:val="header"/>
    <w:basedOn w:val="Normal"/>
    <w:link w:val="HeaderChar"/>
    <w:rsid w:val="00CE3A19"/>
    <w:pPr>
      <w:tabs>
        <w:tab w:val="center" w:pos="4153"/>
        <w:tab w:val="right" w:pos="8306"/>
      </w:tabs>
    </w:pPr>
  </w:style>
  <w:style w:type="character" w:customStyle="1" w:styleId="HeaderChar">
    <w:name w:val="Header Char"/>
    <w:basedOn w:val="DefaultParagraphFont"/>
    <w:link w:val="Header"/>
    <w:rsid w:val="00CE3A19"/>
    <w:rPr>
      <w:rFonts w:ascii="Times New Roman" w:eastAsia="Times New Roman" w:hAnsi="Times New Roman" w:cs="Times New Roman"/>
      <w:sz w:val="24"/>
      <w:szCs w:val="24"/>
    </w:rPr>
  </w:style>
  <w:style w:type="paragraph" w:styleId="BodyTextIndent">
    <w:name w:val="Body Text Indent"/>
    <w:basedOn w:val="Normal"/>
    <w:link w:val="BodyTextIndentChar"/>
    <w:rsid w:val="00CE3A19"/>
    <w:pPr>
      <w:spacing w:after="120"/>
      <w:ind w:left="283"/>
    </w:pPr>
    <w:rPr>
      <w:rFonts w:eastAsia="SimSun"/>
      <w:lang w:eastAsia="zh-CN"/>
    </w:rPr>
  </w:style>
  <w:style w:type="character" w:customStyle="1" w:styleId="BodyTextIndentChar">
    <w:name w:val="Body Text Indent Char"/>
    <w:basedOn w:val="DefaultParagraphFont"/>
    <w:link w:val="BodyTextIndent"/>
    <w:rsid w:val="00CE3A19"/>
    <w:rPr>
      <w:rFonts w:ascii="Times New Roman" w:eastAsia="SimSun" w:hAnsi="Times New Roman" w:cs="Times New Roman"/>
      <w:sz w:val="24"/>
      <w:szCs w:val="24"/>
      <w:lang w:eastAsia="zh-CN"/>
    </w:rPr>
  </w:style>
  <w:style w:type="paragraph" w:styleId="BlockText">
    <w:name w:val="Block Text"/>
    <w:basedOn w:val="Normal"/>
    <w:rsid w:val="00CE3A19"/>
    <w:pPr>
      <w:bidi/>
      <w:ind w:left="-58" w:firstLine="778"/>
      <w:jc w:val="lowKashida"/>
    </w:pPr>
    <w:rPr>
      <w:rFonts w:cs="Traditional Arabic"/>
      <w:noProof/>
      <w:sz w:val="20"/>
      <w:szCs w:val="32"/>
    </w:rPr>
  </w:style>
  <w:style w:type="paragraph" w:styleId="BodyText3">
    <w:name w:val="Body Text 3"/>
    <w:basedOn w:val="Normal"/>
    <w:link w:val="BodyText3Char"/>
    <w:rsid w:val="00CE3A19"/>
    <w:pPr>
      <w:spacing w:after="120"/>
    </w:pPr>
    <w:rPr>
      <w:sz w:val="16"/>
      <w:szCs w:val="16"/>
    </w:rPr>
  </w:style>
  <w:style w:type="character" w:customStyle="1" w:styleId="BodyText3Char">
    <w:name w:val="Body Text 3 Char"/>
    <w:basedOn w:val="DefaultParagraphFont"/>
    <w:link w:val="BodyText3"/>
    <w:rsid w:val="00CE3A19"/>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4920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80post.com/archives/1056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5</cp:revision>
  <dcterms:created xsi:type="dcterms:W3CDTF">2020-05-10T13:19:00Z</dcterms:created>
  <dcterms:modified xsi:type="dcterms:W3CDTF">2020-05-11T18:51:00Z</dcterms:modified>
</cp:coreProperties>
</file>