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97A" w:rsidRPr="00793BD7" w:rsidRDefault="00F3384D" w:rsidP="007E297A">
      <w:pPr>
        <w:autoSpaceDE w:val="0"/>
        <w:autoSpaceDN w:val="0"/>
        <w:adjustRightInd w:val="0"/>
        <w:spacing w:after="0" w:line="252" w:lineRule="auto"/>
        <w:rPr>
          <w:rFonts w:ascii="Arial" w:hAnsi="Arial" w:cs="Simplified Arabic"/>
          <w:sz w:val="28"/>
          <w:szCs w:val="28"/>
          <w:rtl/>
          <w:lang w:bidi="ar-LB"/>
        </w:rPr>
      </w:pPr>
      <w:r>
        <w:rPr>
          <w:rFonts w:cs="Simplified Arabic" w:hint="cs"/>
          <w:rtl/>
          <w:lang w:bidi="ar-LB"/>
        </w:rPr>
        <w:t>جريدة الأخبار 18 كانون الثاني 2018</w:t>
      </w:r>
      <w:bookmarkStart w:id="0" w:name="_GoBack"/>
      <w:bookmarkEnd w:id="0"/>
    </w:p>
    <w:p w:rsidR="007E297A" w:rsidRPr="00793BD7" w:rsidRDefault="007E297A" w:rsidP="007E297A">
      <w:pPr>
        <w:autoSpaceDE w:val="0"/>
        <w:autoSpaceDN w:val="0"/>
        <w:adjustRightInd w:val="0"/>
        <w:spacing w:after="0" w:line="252" w:lineRule="auto"/>
        <w:jc w:val="center"/>
        <w:rPr>
          <w:rFonts w:ascii="Arial" w:hAnsi="Arial" w:cs="Simplified Arabic"/>
          <w:b/>
          <w:bCs/>
          <w:sz w:val="28"/>
          <w:szCs w:val="28"/>
          <w:rtl/>
          <w:lang w:bidi="ar-LB"/>
        </w:rPr>
      </w:pPr>
      <w:r w:rsidRPr="00793BD7">
        <w:rPr>
          <w:rFonts w:ascii="Arial" w:hAnsi="Arial" w:cs="Simplified Arabic" w:hint="cs"/>
          <w:b/>
          <w:bCs/>
          <w:sz w:val="28"/>
          <w:szCs w:val="28"/>
          <w:rtl/>
          <w:lang w:bidi="ar-LB"/>
        </w:rPr>
        <w:t>قانون الانتخاب لم يجز للحكومة اصدار البطاقة الممغنطة</w:t>
      </w:r>
    </w:p>
    <w:p w:rsidR="007E297A" w:rsidRPr="00793BD7" w:rsidRDefault="007E297A" w:rsidP="007E297A">
      <w:pPr>
        <w:autoSpaceDE w:val="0"/>
        <w:autoSpaceDN w:val="0"/>
        <w:adjustRightInd w:val="0"/>
        <w:spacing w:after="0" w:line="252" w:lineRule="auto"/>
        <w:jc w:val="right"/>
        <w:rPr>
          <w:rFonts w:ascii="Arial" w:hAnsi="Arial" w:cs="Simplified Arabic"/>
          <w:b/>
          <w:bCs/>
          <w:sz w:val="28"/>
          <w:szCs w:val="28"/>
          <w:rtl/>
          <w:lang w:bidi="ar-LB"/>
        </w:rPr>
      </w:pPr>
      <w:r w:rsidRPr="00793BD7">
        <w:rPr>
          <w:rFonts w:ascii="Arial" w:hAnsi="Arial" w:cs="Simplified Arabic" w:hint="cs"/>
          <w:b/>
          <w:bCs/>
          <w:sz w:val="28"/>
          <w:szCs w:val="28"/>
          <w:rtl/>
          <w:lang w:bidi="ar-LB"/>
        </w:rPr>
        <w:t>عصام نعمة إسماعيل</w:t>
      </w:r>
    </w:p>
    <w:p w:rsidR="007E297A" w:rsidRPr="00793BD7" w:rsidRDefault="007E297A" w:rsidP="007E297A">
      <w:pPr>
        <w:autoSpaceDE w:val="0"/>
        <w:autoSpaceDN w:val="0"/>
        <w:adjustRightInd w:val="0"/>
        <w:spacing w:after="0" w:line="252" w:lineRule="auto"/>
        <w:jc w:val="right"/>
        <w:rPr>
          <w:rFonts w:ascii="Arial" w:hAnsi="Arial" w:cs="Simplified Arabic"/>
          <w:sz w:val="28"/>
          <w:szCs w:val="28"/>
          <w:rtl/>
          <w:lang w:bidi="ar-LB"/>
        </w:rPr>
      </w:pPr>
    </w:p>
    <w:p w:rsidR="00B52BB4" w:rsidRPr="00793BD7" w:rsidRDefault="0004774B" w:rsidP="00793BD7">
      <w:pPr>
        <w:autoSpaceDE w:val="0"/>
        <w:autoSpaceDN w:val="0"/>
        <w:adjustRightInd w:val="0"/>
        <w:spacing w:after="0" w:line="252" w:lineRule="auto"/>
        <w:jc w:val="both"/>
        <w:rPr>
          <w:rFonts w:ascii="Arial" w:hAnsi="Arial" w:cs="Simplified Arabic"/>
          <w:sz w:val="28"/>
          <w:szCs w:val="28"/>
          <w:rtl/>
        </w:rPr>
      </w:pPr>
      <w:r w:rsidRPr="00793BD7">
        <w:rPr>
          <w:rFonts w:ascii="Arial" w:hAnsi="Arial" w:cs="Simplified Arabic" w:hint="cs"/>
          <w:sz w:val="28"/>
          <w:szCs w:val="28"/>
          <w:rtl/>
          <w:lang w:bidi="ar-LB"/>
        </w:rPr>
        <w:t xml:space="preserve">يحدد المشترع </w:t>
      </w:r>
      <w:r w:rsidR="00042A5C" w:rsidRPr="00793BD7">
        <w:rPr>
          <w:rFonts w:ascii="Arial" w:hAnsi="Arial" w:cs="Simplified Arabic" w:hint="cs"/>
          <w:sz w:val="28"/>
          <w:szCs w:val="28"/>
          <w:rtl/>
          <w:lang w:bidi="ar-LB"/>
        </w:rPr>
        <w:t xml:space="preserve">درجة الإلزام في القانون من خلال طبيعة الأمر الذي تضمّنه وهذا ما يستقى من خلال صياغته،  فإذا استخدم مصطلحات </w:t>
      </w:r>
      <w:r w:rsidR="00BB5965" w:rsidRPr="00793BD7">
        <w:rPr>
          <w:rFonts w:ascii="Arial" w:hAnsi="Arial" w:cs="Simplified Arabic" w:hint="cs"/>
          <w:sz w:val="28"/>
          <w:szCs w:val="28"/>
          <w:rtl/>
          <w:lang w:bidi="ar-LB"/>
        </w:rPr>
        <w:t xml:space="preserve">قطعية الدلالة لا تفسّر إلا باتجاه محدد ملزم كانت الحكومة مقيّدة بالتفسير الذي حدده المشترع، </w:t>
      </w:r>
      <w:r w:rsidR="00B52BB4" w:rsidRPr="00793BD7">
        <w:rPr>
          <w:rFonts w:ascii="Arial" w:hAnsi="Arial" w:cs="Simplified Arabic" w:hint="cs"/>
          <w:sz w:val="28"/>
          <w:szCs w:val="28"/>
          <w:rtl/>
          <w:lang w:bidi="ar-LB"/>
        </w:rPr>
        <w:t xml:space="preserve">فمثلاً إن القانون رقم 46 تاريخ 21/8/2017 </w:t>
      </w:r>
      <w:r w:rsidR="00B52BB4" w:rsidRPr="00793BD7">
        <w:rPr>
          <w:rFonts w:ascii="Arial" w:hAnsi="Arial" w:cs="Simplified Arabic"/>
          <w:sz w:val="28"/>
          <w:szCs w:val="28"/>
          <w:rtl/>
        </w:rPr>
        <w:t>منع جميع حالات التوظيف والتعاقد بما فيها القطاع التعليمي والعسكري بمختلف مستوياته واختصاصاته وفي المشاريع المشتركة مع المنظمات الدولية المختلفة إلا بقرار من مجلس الوزراء بناءً على تحقيق تجريه إدارة الأبحاث والتوجيه.</w:t>
      </w:r>
      <w:r w:rsidR="00793BD7">
        <w:rPr>
          <w:rFonts w:ascii="Arial" w:hAnsi="Arial" w:cs="Simplified Arabic" w:hint="cs"/>
          <w:sz w:val="28"/>
          <w:szCs w:val="28"/>
          <w:rtl/>
        </w:rPr>
        <w:t xml:space="preserve"> ولهذا </w:t>
      </w:r>
      <w:r w:rsidR="00B52BB4" w:rsidRPr="00793BD7">
        <w:rPr>
          <w:rFonts w:ascii="Arial" w:hAnsi="Arial" w:cs="Simplified Arabic" w:hint="cs"/>
          <w:sz w:val="28"/>
          <w:szCs w:val="28"/>
          <w:rtl/>
        </w:rPr>
        <w:t xml:space="preserve">فإن الحكومة ملزمة بعدم التعاقد أو التوظيف إلا بناءً </w:t>
      </w:r>
      <w:r w:rsidR="00793BD7">
        <w:rPr>
          <w:rFonts w:ascii="Arial" w:hAnsi="Arial" w:cs="Simplified Arabic" w:hint="cs"/>
          <w:sz w:val="28"/>
          <w:szCs w:val="28"/>
          <w:rtl/>
        </w:rPr>
        <w:t xml:space="preserve">على </w:t>
      </w:r>
      <w:r w:rsidR="00B52BB4" w:rsidRPr="00793BD7">
        <w:rPr>
          <w:rFonts w:ascii="Arial" w:hAnsi="Arial" w:cs="Simplified Arabic" w:hint="cs"/>
          <w:sz w:val="28"/>
          <w:szCs w:val="28"/>
          <w:rtl/>
        </w:rPr>
        <w:t>قرار مجلس الوزراء مبني على تحقيق تجريه إدارة الأبحاث والتوجيه</w:t>
      </w:r>
      <w:r w:rsidR="00793BD7">
        <w:rPr>
          <w:rFonts w:ascii="Arial" w:hAnsi="Arial" w:cs="Simplified Arabic" w:hint="cs"/>
          <w:sz w:val="28"/>
          <w:szCs w:val="28"/>
          <w:rtl/>
        </w:rPr>
        <w:t xml:space="preserve"> في مجلس الخدمة المدنية</w:t>
      </w:r>
      <w:r w:rsidR="00B52BB4" w:rsidRPr="00793BD7">
        <w:rPr>
          <w:rFonts w:ascii="Arial" w:hAnsi="Arial" w:cs="Simplified Arabic" w:hint="cs"/>
          <w:sz w:val="28"/>
          <w:szCs w:val="28"/>
          <w:rtl/>
        </w:rPr>
        <w:t>.</w:t>
      </w:r>
    </w:p>
    <w:p w:rsidR="00B52BB4" w:rsidRPr="00793BD7" w:rsidRDefault="00B52BB4" w:rsidP="00B52BB4">
      <w:pPr>
        <w:autoSpaceDE w:val="0"/>
        <w:autoSpaceDN w:val="0"/>
        <w:adjustRightInd w:val="0"/>
        <w:spacing w:after="0" w:line="252" w:lineRule="auto"/>
        <w:jc w:val="both"/>
        <w:rPr>
          <w:rFonts w:ascii="Arial" w:hAnsi="Arial" w:cs="Simplified Arabic"/>
          <w:sz w:val="28"/>
          <w:szCs w:val="28"/>
          <w:rtl/>
        </w:rPr>
      </w:pPr>
    </w:p>
    <w:p w:rsidR="00333646" w:rsidRPr="00793BD7" w:rsidRDefault="00B52BB4" w:rsidP="00793BD7">
      <w:pPr>
        <w:autoSpaceDE w:val="0"/>
        <w:autoSpaceDN w:val="0"/>
        <w:adjustRightInd w:val="0"/>
        <w:spacing w:after="0" w:line="252" w:lineRule="auto"/>
        <w:jc w:val="both"/>
        <w:rPr>
          <w:rFonts w:ascii="Arial" w:hAnsi="Arial" w:cs="Simplified Arabic"/>
          <w:sz w:val="28"/>
          <w:szCs w:val="28"/>
          <w:rtl/>
          <w:lang w:bidi="ar-LB"/>
        </w:rPr>
      </w:pPr>
      <w:r w:rsidRPr="00793BD7">
        <w:rPr>
          <w:rFonts w:ascii="Arial" w:hAnsi="Arial" w:cs="Simplified Arabic" w:hint="cs"/>
          <w:sz w:val="28"/>
          <w:szCs w:val="28"/>
          <w:rtl/>
        </w:rPr>
        <w:t xml:space="preserve">وفي حالاتٍ أخرى </w:t>
      </w:r>
      <w:r w:rsidR="00333646" w:rsidRPr="00793BD7">
        <w:rPr>
          <w:rFonts w:ascii="Arial" w:hAnsi="Arial" w:cs="Simplified Arabic" w:hint="cs"/>
          <w:sz w:val="28"/>
          <w:szCs w:val="28"/>
          <w:rtl/>
          <w:lang w:bidi="ar-LB"/>
        </w:rPr>
        <w:t xml:space="preserve">يرى المشترع من المناسب </w:t>
      </w:r>
      <w:r w:rsidR="00793BD7">
        <w:rPr>
          <w:rFonts w:ascii="Arial" w:hAnsi="Arial" w:cs="Simplified Arabic" w:hint="cs"/>
          <w:sz w:val="28"/>
          <w:szCs w:val="28"/>
          <w:rtl/>
          <w:lang w:bidi="ar-LB"/>
        </w:rPr>
        <w:t xml:space="preserve">إعداد </w:t>
      </w:r>
      <w:r w:rsidR="00333646" w:rsidRPr="00793BD7">
        <w:rPr>
          <w:rFonts w:ascii="Arial" w:hAnsi="Arial" w:cs="Simplified Arabic" w:hint="cs"/>
          <w:sz w:val="28"/>
          <w:szCs w:val="28"/>
          <w:rtl/>
          <w:lang w:bidi="ar-LB"/>
        </w:rPr>
        <w:t xml:space="preserve">دراسة مستفيضة لمسألة معينة، فيأتي الإلزام بتكليف الحكومة بتقديم الاقتراحات المطلوبة دون أن يتضمّن تفويضاً للحكومة ممارسة صلاحية تنظيمية، وهذه الحالات </w:t>
      </w:r>
      <w:r w:rsidR="00793BD7">
        <w:rPr>
          <w:rFonts w:ascii="Arial" w:hAnsi="Arial" w:cs="Simplified Arabic" w:hint="cs"/>
          <w:sz w:val="28"/>
          <w:szCs w:val="28"/>
          <w:rtl/>
          <w:lang w:bidi="ar-LB"/>
        </w:rPr>
        <w:t>كثيراً ما يستخدمها المشترع عندما يرى أن من المناسب إقرار ال</w:t>
      </w:r>
      <w:r w:rsidR="00333646" w:rsidRPr="00793BD7">
        <w:rPr>
          <w:rFonts w:ascii="Arial" w:hAnsi="Arial" w:cs="Simplified Arabic" w:hint="cs"/>
          <w:sz w:val="28"/>
          <w:szCs w:val="28"/>
          <w:rtl/>
          <w:lang w:bidi="ar-LB"/>
        </w:rPr>
        <w:t xml:space="preserve">مبدأ </w:t>
      </w:r>
      <w:r w:rsidR="00793BD7">
        <w:rPr>
          <w:rFonts w:ascii="Arial" w:hAnsi="Arial" w:cs="Simplified Arabic" w:hint="cs"/>
          <w:sz w:val="28"/>
          <w:szCs w:val="28"/>
          <w:rtl/>
          <w:lang w:bidi="ar-LB"/>
        </w:rPr>
        <w:t xml:space="preserve">الجديد ليعلن </w:t>
      </w:r>
      <w:r w:rsidR="00333646" w:rsidRPr="00793BD7">
        <w:rPr>
          <w:rFonts w:ascii="Arial" w:hAnsi="Arial" w:cs="Simplified Arabic" w:hint="cs"/>
          <w:sz w:val="28"/>
          <w:szCs w:val="28"/>
          <w:rtl/>
          <w:lang w:bidi="ar-LB"/>
        </w:rPr>
        <w:t xml:space="preserve"> انطلاق العمل في الخطة المقترحة على أن تضع الحكومة المشاريع اللازمة والرجوع إلى مجلس النواب للتقرير.</w:t>
      </w:r>
    </w:p>
    <w:p w:rsidR="00B52BB4" w:rsidRPr="00793BD7" w:rsidRDefault="00B52BB4" w:rsidP="00B52BB4">
      <w:pPr>
        <w:autoSpaceDE w:val="0"/>
        <w:autoSpaceDN w:val="0"/>
        <w:adjustRightInd w:val="0"/>
        <w:spacing w:after="0" w:line="252" w:lineRule="auto"/>
        <w:jc w:val="both"/>
        <w:rPr>
          <w:rFonts w:ascii="Arial" w:hAnsi="Arial" w:cs="Simplified Arabic"/>
          <w:sz w:val="28"/>
          <w:szCs w:val="28"/>
          <w:rtl/>
          <w:lang w:bidi="ar-LB"/>
        </w:rPr>
      </w:pPr>
    </w:p>
    <w:p w:rsidR="007C0534" w:rsidRPr="00793BD7" w:rsidRDefault="00333646" w:rsidP="00333646">
      <w:pPr>
        <w:autoSpaceDE w:val="0"/>
        <w:autoSpaceDN w:val="0"/>
        <w:adjustRightInd w:val="0"/>
        <w:spacing w:after="0" w:line="252" w:lineRule="auto"/>
        <w:jc w:val="both"/>
        <w:rPr>
          <w:rFonts w:ascii="Traditional Arabic" w:hAnsi="Times New Roman" w:cs="Simplified Arabic"/>
          <w:b/>
          <w:bCs/>
          <w:sz w:val="28"/>
          <w:szCs w:val="28"/>
          <w:u w:val="single"/>
          <w:rtl/>
        </w:rPr>
      </w:pPr>
      <w:r w:rsidRPr="00793BD7">
        <w:rPr>
          <w:rFonts w:ascii="Arial" w:hAnsi="Arial" w:cs="Simplified Arabic" w:hint="cs"/>
          <w:sz w:val="28"/>
          <w:szCs w:val="28"/>
          <w:rtl/>
          <w:lang w:bidi="ar-LB"/>
        </w:rPr>
        <w:t>وهذا ما حصل في اعتماد ال</w:t>
      </w:r>
      <w:r w:rsidR="00793BD7">
        <w:rPr>
          <w:rFonts w:ascii="Arial" w:hAnsi="Arial" w:cs="Simplified Arabic" w:hint="cs"/>
          <w:sz w:val="28"/>
          <w:szCs w:val="28"/>
          <w:rtl/>
          <w:lang w:bidi="ar-LB"/>
        </w:rPr>
        <w:t>بطاقة الالكترونية الممغنطة، ف</w:t>
      </w:r>
      <w:r w:rsidRPr="00793BD7">
        <w:rPr>
          <w:rFonts w:ascii="Arial" w:hAnsi="Arial" w:cs="Simplified Arabic" w:hint="cs"/>
          <w:sz w:val="28"/>
          <w:szCs w:val="28"/>
          <w:rtl/>
          <w:lang w:bidi="ar-LB"/>
        </w:rPr>
        <w:t>المادة 85 من ال</w:t>
      </w:r>
      <w:r w:rsidR="00867041" w:rsidRPr="00793BD7">
        <w:rPr>
          <w:rFonts w:ascii="Traditional Arabic" w:hAnsi="Times New Roman" w:cs="Simplified Arabic" w:hint="eastAsia"/>
          <w:sz w:val="28"/>
          <w:szCs w:val="28"/>
          <w:rtl/>
          <w:lang w:bidi="ar-LB"/>
        </w:rPr>
        <w:t>قانون</w:t>
      </w:r>
      <w:r w:rsidR="00867041" w:rsidRPr="00793BD7">
        <w:rPr>
          <w:rFonts w:ascii="Traditional Arabic" w:hAnsi="Times New Roman" w:cs="Simplified Arabic"/>
          <w:sz w:val="28"/>
          <w:szCs w:val="28"/>
          <w:rtl/>
          <w:lang w:bidi="ar-LB"/>
        </w:rPr>
        <w:t xml:space="preserve"> </w:t>
      </w:r>
      <w:r w:rsidR="00867041" w:rsidRPr="00793BD7">
        <w:rPr>
          <w:rFonts w:ascii="Traditional Arabic" w:hAnsi="Times New Roman" w:cs="Simplified Arabic" w:hint="eastAsia"/>
          <w:sz w:val="28"/>
          <w:szCs w:val="28"/>
          <w:rtl/>
          <w:lang w:bidi="ar-LB"/>
        </w:rPr>
        <w:t>رقم</w:t>
      </w:r>
      <w:r w:rsidR="00867041" w:rsidRPr="00793BD7">
        <w:rPr>
          <w:rFonts w:ascii="Traditional Arabic" w:hAnsi="Times New Roman" w:cs="Simplified Arabic"/>
          <w:sz w:val="28"/>
          <w:szCs w:val="28"/>
          <w:rtl/>
          <w:lang w:bidi="ar-LB"/>
        </w:rPr>
        <w:t xml:space="preserve"> 44</w:t>
      </w:r>
      <w:r w:rsidRPr="00793BD7">
        <w:rPr>
          <w:rFonts w:ascii="Traditional Arabic" w:hAnsi="Times New Roman" w:cs="Simplified Arabic" w:hint="cs"/>
          <w:sz w:val="28"/>
          <w:szCs w:val="28"/>
          <w:rtl/>
          <w:lang w:bidi="ar-LB"/>
        </w:rPr>
        <w:t xml:space="preserve"> </w:t>
      </w:r>
      <w:r w:rsidR="00867041" w:rsidRPr="00793BD7">
        <w:rPr>
          <w:rFonts w:ascii="Traditional Arabic" w:hAnsi="Times New Roman" w:cs="Simplified Arabic" w:hint="eastAsia"/>
          <w:sz w:val="28"/>
          <w:szCs w:val="28"/>
          <w:rtl/>
        </w:rPr>
        <w:t>تاريخ</w:t>
      </w:r>
      <w:r w:rsidR="00867041" w:rsidRPr="00793BD7">
        <w:rPr>
          <w:rFonts w:ascii="Traditional Arabic" w:hAnsi="Times New Roman" w:cs="Simplified Arabic"/>
          <w:sz w:val="28"/>
          <w:szCs w:val="28"/>
          <w:rtl/>
        </w:rPr>
        <w:t xml:space="preserve"> 17/6/2017</w:t>
      </w:r>
      <w:r w:rsidRPr="00793BD7">
        <w:rPr>
          <w:rFonts w:ascii="Traditional Arabic" w:hAnsi="Times New Roman" w:cs="Simplified Arabic" w:hint="cs"/>
          <w:sz w:val="28"/>
          <w:szCs w:val="28"/>
          <w:rtl/>
        </w:rPr>
        <w:t xml:space="preserve">، هي بمثابة صافرة الانطلاق لإقرار البطاقة الممغنطة إلا أنها ليست </w:t>
      </w:r>
      <w:r w:rsidR="007C0534" w:rsidRPr="00793BD7">
        <w:rPr>
          <w:rFonts w:ascii="Traditional Arabic" w:hAnsi="Times New Roman" w:cs="Simplified Arabic" w:hint="cs"/>
          <w:sz w:val="28"/>
          <w:szCs w:val="28"/>
          <w:rtl/>
        </w:rPr>
        <w:t>نهائية في هذا المجال، بل هي مجرّد إلزام للحكومة بالشروع في الخطوات لوضع قانون خاص لتنفيذ هذه البطاقة.</w:t>
      </w:r>
    </w:p>
    <w:p w:rsidR="007E297A" w:rsidRPr="00793BD7" w:rsidRDefault="007C0534" w:rsidP="002E5D14">
      <w:pPr>
        <w:autoSpaceDE w:val="0"/>
        <w:autoSpaceDN w:val="0"/>
        <w:adjustRightInd w:val="0"/>
        <w:spacing w:after="0" w:line="252" w:lineRule="auto"/>
        <w:jc w:val="both"/>
        <w:rPr>
          <w:rFonts w:ascii="Arial" w:hAnsi="Arial" w:cs="Simplified Arabic"/>
          <w:sz w:val="28"/>
          <w:szCs w:val="28"/>
          <w:rtl/>
          <w:lang w:bidi="ar-LB"/>
        </w:rPr>
      </w:pPr>
      <w:r w:rsidRPr="002E5D14">
        <w:rPr>
          <w:rFonts w:ascii="Traditional Arabic" w:hAnsi="Times New Roman" w:cs="Simplified Arabic" w:hint="cs"/>
          <w:sz w:val="28"/>
          <w:szCs w:val="28"/>
          <w:rtl/>
        </w:rPr>
        <w:t>وهذا الأمر واضح من صياغة الن</w:t>
      </w:r>
      <w:r w:rsidR="00793BD7" w:rsidRPr="002E5D14">
        <w:rPr>
          <w:rFonts w:ascii="Traditional Arabic" w:hAnsi="Times New Roman" w:cs="Simplified Arabic" w:hint="cs"/>
          <w:sz w:val="28"/>
          <w:szCs w:val="28"/>
          <w:rtl/>
        </w:rPr>
        <w:t xml:space="preserve">ص المذكور:" </w:t>
      </w:r>
      <w:r w:rsidR="00793BD7" w:rsidRPr="002E5D14">
        <w:rPr>
          <w:rFonts w:ascii="Arial" w:hAnsi="Arial" w:cs="Simplified Arabic"/>
          <w:sz w:val="28"/>
          <w:szCs w:val="28"/>
          <w:rtl/>
          <w:lang w:bidi="ar-LB"/>
        </w:rPr>
        <w:t>على الحكومة بمرسوم يتخذ في مجلس الوزراء بأكثرية الثلثين بناءً على اقتراح الوزير، اتخاذ الإجراءات الآيلة إلى اعتماد البطاقة الالكترونية الممغنطة في العملية الانتخابية المقبلة، وأن تقترح على مجلس النواب التعديلات اللازمة على هذا القانون التي تقتضيها اعتماد ا</w:t>
      </w:r>
      <w:r w:rsidR="002E5D14" w:rsidRPr="002E5D14">
        <w:rPr>
          <w:rFonts w:ascii="Arial" w:hAnsi="Arial" w:cs="Simplified Arabic"/>
          <w:sz w:val="28"/>
          <w:szCs w:val="28"/>
          <w:rtl/>
          <w:lang w:bidi="ar-LB"/>
        </w:rPr>
        <w:t>لبطاقة الالكترونية الممغنطة</w:t>
      </w:r>
      <w:r w:rsidR="002E5D14" w:rsidRPr="002E5D14">
        <w:rPr>
          <w:rFonts w:ascii="Arial" w:hAnsi="Arial" w:cs="Simplified Arabic" w:hint="cs"/>
          <w:sz w:val="28"/>
          <w:szCs w:val="28"/>
          <w:rtl/>
          <w:lang w:bidi="ar-LB"/>
        </w:rPr>
        <w:t xml:space="preserve">". بحسب هذا النص </w:t>
      </w:r>
      <w:r w:rsidRPr="002E5D14">
        <w:rPr>
          <w:rFonts w:ascii="Traditional Arabic" w:hAnsi="Times New Roman" w:cs="Simplified Arabic" w:hint="cs"/>
          <w:sz w:val="28"/>
          <w:szCs w:val="28"/>
          <w:rtl/>
        </w:rPr>
        <w:t xml:space="preserve">لقد أوجب المشترع </w:t>
      </w:r>
      <w:r w:rsidRPr="00793BD7">
        <w:rPr>
          <w:rFonts w:ascii="Traditional Arabic" w:hAnsi="Times New Roman" w:cs="Simplified Arabic" w:hint="cs"/>
          <w:sz w:val="28"/>
          <w:szCs w:val="28"/>
          <w:rtl/>
        </w:rPr>
        <w:t>ع</w:t>
      </w:r>
      <w:r w:rsidR="007E297A" w:rsidRPr="00793BD7">
        <w:rPr>
          <w:rFonts w:ascii="Arial" w:hAnsi="Arial" w:cs="Simplified Arabic"/>
          <w:sz w:val="28"/>
          <w:szCs w:val="28"/>
          <w:rtl/>
          <w:lang w:bidi="ar-LB"/>
        </w:rPr>
        <w:t xml:space="preserve">لى الحكومة </w:t>
      </w:r>
      <w:r w:rsidRPr="00793BD7">
        <w:rPr>
          <w:rFonts w:ascii="Arial" w:hAnsi="Arial" w:cs="Simplified Arabic" w:hint="cs"/>
          <w:sz w:val="28"/>
          <w:szCs w:val="28"/>
          <w:rtl/>
          <w:lang w:bidi="ar-LB"/>
        </w:rPr>
        <w:t xml:space="preserve">أن تتخذ </w:t>
      </w:r>
      <w:r w:rsidR="00793BD7">
        <w:rPr>
          <w:rFonts w:ascii="Arial" w:hAnsi="Arial" w:cs="Simplified Arabic" w:hint="cs"/>
          <w:sz w:val="28"/>
          <w:szCs w:val="28"/>
          <w:rtl/>
          <w:lang w:bidi="ar-LB"/>
        </w:rPr>
        <w:t>ب</w:t>
      </w:r>
      <w:r w:rsidR="007E297A" w:rsidRPr="00793BD7">
        <w:rPr>
          <w:rFonts w:ascii="Arial" w:hAnsi="Arial" w:cs="Simplified Arabic"/>
          <w:sz w:val="28"/>
          <w:szCs w:val="28"/>
          <w:rtl/>
          <w:lang w:bidi="ar-LB"/>
        </w:rPr>
        <w:t xml:space="preserve">مرسوم في مجلس الوزراء بأكثرية الثلثين الإجراءات الآيلة إلى اعتماد البطاقة الالكترونية الممغنطة في العملية الانتخابية المقبلة، </w:t>
      </w:r>
      <w:r w:rsidRPr="00793BD7">
        <w:rPr>
          <w:rFonts w:ascii="Arial" w:hAnsi="Arial" w:cs="Simplified Arabic" w:hint="cs"/>
          <w:sz w:val="28"/>
          <w:szCs w:val="28"/>
          <w:rtl/>
          <w:lang w:bidi="ar-LB"/>
        </w:rPr>
        <w:t>ولو اكتفى المشترع بهذه الفقرة لكان ذلك بمثابة تفويض بإصدار الأنظمة التنفيذية اللازمة، إلا أن المشترع أضاف فقرة أدت تلقائياً إلى خصر صلاحية مجلس الوزراء بالأمور الإجرائية فقط</w:t>
      </w:r>
      <w:r w:rsidR="00793BD7">
        <w:rPr>
          <w:rFonts w:ascii="Arial" w:hAnsi="Arial" w:cs="Simplified Arabic" w:hint="cs"/>
          <w:sz w:val="28"/>
          <w:szCs w:val="28"/>
          <w:rtl/>
          <w:lang w:bidi="ar-LB"/>
        </w:rPr>
        <w:t xml:space="preserve"> فيما يتعلق بالبطاقة المذكورة</w:t>
      </w:r>
      <w:r w:rsidRPr="00793BD7">
        <w:rPr>
          <w:rFonts w:ascii="Arial" w:hAnsi="Arial" w:cs="Simplified Arabic" w:hint="cs"/>
          <w:sz w:val="28"/>
          <w:szCs w:val="28"/>
          <w:rtl/>
          <w:lang w:bidi="ar-LB"/>
        </w:rPr>
        <w:t xml:space="preserve">، حيث فرض على الحكومة </w:t>
      </w:r>
      <w:r w:rsidR="007E297A" w:rsidRPr="00793BD7">
        <w:rPr>
          <w:rFonts w:ascii="Arial" w:hAnsi="Arial" w:cs="Simplified Arabic"/>
          <w:sz w:val="28"/>
          <w:szCs w:val="28"/>
          <w:rtl/>
          <w:lang w:bidi="ar-LB"/>
        </w:rPr>
        <w:t xml:space="preserve">أن تقترح على مجلس النواب التعديلات اللازمة على </w:t>
      </w:r>
      <w:r w:rsidR="00793BD7">
        <w:rPr>
          <w:rFonts w:ascii="Arial" w:hAnsi="Arial" w:cs="Simplified Arabic" w:hint="cs"/>
          <w:sz w:val="28"/>
          <w:szCs w:val="28"/>
          <w:rtl/>
          <w:lang w:bidi="ar-LB"/>
        </w:rPr>
        <w:t>قانون الانتخاب</w:t>
      </w:r>
      <w:r w:rsidR="007E297A" w:rsidRPr="00793BD7">
        <w:rPr>
          <w:rFonts w:ascii="Arial" w:hAnsi="Arial" w:cs="Simplified Arabic"/>
          <w:sz w:val="28"/>
          <w:szCs w:val="28"/>
          <w:rtl/>
          <w:lang w:bidi="ar-LB"/>
        </w:rPr>
        <w:t xml:space="preserve"> التي تقتضيها اعتماد البطاقة الالكترونية الممغنطة.</w:t>
      </w:r>
    </w:p>
    <w:p w:rsidR="007C0534" w:rsidRPr="00793BD7" w:rsidRDefault="007C0534" w:rsidP="007C0534">
      <w:pPr>
        <w:autoSpaceDE w:val="0"/>
        <w:autoSpaceDN w:val="0"/>
        <w:adjustRightInd w:val="0"/>
        <w:spacing w:after="0" w:line="252" w:lineRule="auto"/>
        <w:jc w:val="both"/>
        <w:rPr>
          <w:rFonts w:ascii="Arial" w:hAnsi="Arial" w:cs="Simplified Arabic"/>
          <w:sz w:val="28"/>
          <w:szCs w:val="28"/>
          <w:rtl/>
          <w:lang w:bidi="ar-LB"/>
        </w:rPr>
      </w:pPr>
      <w:r w:rsidRPr="00793BD7">
        <w:rPr>
          <w:rFonts w:ascii="Arial" w:hAnsi="Arial" w:cs="Simplified Arabic" w:hint="cs"/>
          <w:sz w:val="28"/>
          <w:szCs w:val="28"/>
          <w:rtl/>
          <w:lang w:bidi="ar-LB"/>
        </w:rPr>
        <w:t xml:space="preserve">ما يعني أنه لا بد قبل وضع أنظمة البطاقة الانتخابية الممغنطة موضع التنفيذ أن تعمد الحكومة إلى وضع مشروع قانون جديد من أجل تعديل قانون الانتخاب المرعي الإجراء بما يتيح تطبيق نظام </w:t>
      </w:r>
      <w:r w:rsidR="00793BD7" w:rsidRPr="00793BD7">
        <w:rPr>
          <w:rFonts w:ascii="Arial" w:hAnsi="Arial" w:cs="Simplified Arabic" w:hint="cs"/>
          <w:sz w:val="28"/>
          <w:szCs w:val="28"/>
          <w:rtl/>
          <w:lang w:bidi="ar-LB"/>
        </w:rPr>
        <w:t>الاقتراع الجديد بموجب البطاقة الممغنطة.</w:t>
      </w:r>
    </w:p>
    <w:p w:rsidR="00793BD7" w:rsidRPr="00793BD7" w:rsidRDefault="00793BD7" w:rsidP="00793BD7">
      <w:pPr>
        <w:autoSpaceDE w:val="0"/>
        <w:autoSpaceDN w:val="0"/>
        <w:adjustRightInd w:val="0"/>
        <w:spacing w:after="0" w:line="252" w:lineRule="auto"/>
        <w:jc w:val="both"/>
        <w:rPr>
          <w:rFonts w:ascii="Arial" w:hAnsi="Arial" w:cs="Simplified Arabic"/>
          <w:sz w:val="28"/>
          <w:szCs w:val="28"/>
          <w:rtl/>
          <w:lang w:bidi="ar-LB"/>
        </w:rPr>
      </w:pPr>
      <w:r w:rsidRPr="00793BD7">
        <w:rPr>
          <w:rFonts w:ascii="Arial" w:hAnsi="Arial" w:cs="Simplified Arabic" w:hint="cs"/>
          <w:sz w:val="28"/>
          <w:szCs w:val="28"/>
          <w:rtl/>
          <w:lang w:bidi="ar-LB"/>
        </w:rPr>
        <w:t>وما يعزز هذا التفسير، أن كافة المواد الواردة في قانون الانتخاب وذات الصلة بالقوائم الانتخابية وآلية الاقتراع لا تشير إلى البطاقة الانتخابية الممغنطة بل لا زالت تتحدث عن بطاقة الهوية وجواز السفر.</w:t>
      </w:r>
    </w:p>
    <w:p w:rsidR="00793BD7" w:rsidRPr="00793BD7" w:rsidRDefault="00793BD7" w:rsidP="00793BD7">
      <w:pPr>
        <w:autoSpaceDE w:val="0"/>
        <w:autoSpaceDN w:val="0"/>
        <w:adjustRightInd w:val="0"/>
        <w:spacing w:after="0" w:line="252" w:lineRule="auto"/>
        <w:jc w:val="both"/>
        <w:rPr>
          <w:rFonts w:ascii="Arial" w:hAnsi="Arial" w:cs="Simplified Arabic"/>
          <w:sz w:val="28"/>
          <w:szCs w:val="28"/>
          <w:rtl/>
          <w:lang w:bidi="ar-LB"/>
        </w:rPr>
      </w:pPr>
      <w:r w:rsidRPr="00793BD7">
        <w:rPr>
          <w:rFonts w:ascii="Arial" w:hAnsi="Arial" w:cs="Simplified Arabic" w:hint="cs"/>
          <w:sz w:val="28"/>
          <w:szCs w:val="28"/>
          <w:rtl/>
          <w:lang w:bidi="ar-LB"/>
        </w:rPr>
        <w:lastRenderedPageBreak/>
        <w:t>ونخلص من كل ما تقدّم أن قانون الانتخاب المرعي الإجراء لا يجيز اعتماد البطاقة الممغنطة في الانتخابات المقبلة، وأن هذه الإجازة تستوجب صدور قانون خاص.</w:t>
      </w:r>
    </w:p>
    <w:p w:rsidR="00793BD7" w:rsidRPr="00793BD7" w:rsidRDefault="00793BD7" w:rsidP="00793BD7">
      <w:pPr>
        <w:autoSpaceDE w:val="0"/>
        <w:autoSpaceDN w:val="0"/>
        <w:adjustRightInd w:val="0"/>
        <w:spacing w:after="0" w:line="252" w:lineRule="auto"/>
        <w:jc w:val="both"/>
        <w:rPr>
          <w:rFonts w:ascii="Arial" w:hAnsi="Arial" w:cs="Simplified Arabic"/>
          <w:sz w:val="28"/>
          <w:szCs w:val="28"/>
          <w:rtl/>
          <w:lang w:bidi="ar-LB"/>
        </w:rPr>
      </w:pPr>
    </w:p>
    <w:p w:rsidR="00793BD7" w:rsidRPr="00793BD7" w:rsidRDefault="00793BD7" w:rsidP="007C0534">
      <w:pPr>
        <w:autoSpaceDE w:val="0"/>
        <w:autoSpaceDN w:val="0"/>
        <w:adjustRightInd w:val="0"/>
        <w:spacing w:after="0" w:line="252" w:lineRule="auto"/>
        <w:jc w:val="both"/>
        <w:rPr>
          <w:rFonts w:ascii="Traditional Arabic" w:hAnsi="Times New Roman" w:cs="Simplified Arabic"/>
          <w:b/>
          <w:bCs/>
          <w:sz w:val="28"/>
          <w:szCs w:val="28"/>
          <w:u w:val="single"/>
          <w:rtl/>
        </w:rPr>
      </w:pPr>
    </w:p>
    <w:p w:rsidR="007E297A" w:rsidRDefault="007E297A" w:rsidP="007E297A">
      <w:pPr>
        <w:autoSpaceDE w:val="0"/>
        <w:autoSpaceDN w:val="0"/>
        <w:adjustRightInd w:val="0"/>
        <w:spacing w:after="0" w:line="252" w:lineRule="auto"/>
        <w:rPr>
          <w:rFonts w:ascii="Arial" w:hAnsi="Arial" w:cs="Arial"/>
          <w:color w:val="800000"/>
          <w:sz w:val="28"/>
          <w:szCs w:val="28"/>
          <w:rtl/>
          <w:lang w:bidi="ar-LB"/>
        </w:rPr>
      </w:pPr>
    </w:p>
    <w:sectPr w:rsidR="007E297A" w:rsidSect="007F355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udir MT">
    <w:altName w:val="Times New Roman"/>
    <w:charset w:val="B2"/>
    <w:family w:val="auto"/>
    <w:pitch w:val="variable"/>
    <w:sig w:usb0="00002000" w:usb1="00000000" w:usb2="00000000" w:usb3="00000000" w:csb0="00000040" w:csb1="00000000"/>
  </w:font>
  <w:font w:name="DecoType Naskh Variants">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charset w:val="B2"/>
    <w:family w:val="auto"/>
    <w:pitch w:val="variable"/>
    <w:sig w:usb0="00002001" w:usb1="00000000" w:usb2="00000000" w:usb3="00000000" w:csb0="00000040" w:csb1="00000000"/>
  </w:font>
  <w:font w:name="Traditional Arabic">
    <w:altName w:val="Times New Roman"/>
    <w:charset w:val="00"/>
    <w:family w:val="roman"/>
    <w:pitch w:val="variable"/>
    <w:sig w:usb0="00002001"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97A"/>
    <w:rsid w:val="00042A5C"/>
    <w:rsid w:val="0004774B"/>
    <w:rsid w:val="001262C8"/>
    <w:rsid w:val="002E5D14"/>
    <w:rsid w:val="00333646"/>
    <w:rsid w:val="004B399F"/>
    <w:rsid w:val="00793BD7"/>
    <w:rsid w:val="007C0534"/>
    <w:rsid w:val="007E297A"/>
    <w:rsid w:val="00867041"/>
    <w:rsid w:val="008F5F45"/>
    <w:rsid w:val="00991E20"/>
    <w:rsid w:val="00B52BB4"/>
    <w:rsid w:val="00BB5965"/>
    <w:rsid w:val="00BF1C9C"/>
    <w:rsid w:val="00CE19F8"/>
    <w:rsid w:val="00DC76FA"/>
    <w:rsid w:val="00F3384D"/>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F759F-CF0C-4A4A-9446-2C793CA2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User</cp:lastModifiedBy>
  <cp:revision>6</cp:revision>
  <dcterms:created xsi:type="dcterms:W3CDTF">2018-01-13T13:19:00Z</dcterms:created>
  <dcterms:modified xsi:type="dcterms:W3CDTF">2018-01-22T10:53:00Z</dcterms:modified>
</cp:coreProperties>
</file>