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B5" w:rsidRPr="00972EF0" w:rsidRDefault="003C5BB5" w:rsidP="00972EF0">
      <w:pPr>
        <w:autoSpaceDE w:val="0"/>
        <w:autoSpaceDN w:val="0"/>
        <w:bidi/>
        <w:adjustRightInd w:val="0"/>
        <w:spacing w:after="0" w:line="252" w:lineRule="auto"/>
        <w:jc w:val="center"/>
        <w:rPr>
          <w:rFonts w:ascii="Simplified Arabic" w:hAnsi="Simplified Arabic" w:cs="Simplified Arabic"/>
          <w:b/>
          <w:bCs/>
          <w:sz w:val="28"/>
          <w:szCs w:val="28"/>
          <w:rtl/>
          <w:lang w:bidi="ar-LB"/>
        </w:rPr>
      </w:pPr>
      <w:r w:rsidRPr="00972EF0">
        <w:rPr>
          <w:rFonts w:ascii="Simplified Arabic" w:hAnsi="Simplified Arabic" w:cs="Simplified Arabic"/>
          <w:b/>
          <w:bCs/>
          <w:sz w:val="28"/>
          <w:szCs w:val="28"/>
          <w:rtl/>
          <w:lang w:bidi="ar-LB"/>
        </w:rPr>
        <w:t>الأوراق البيضاء لا تحتسب</w:t>
      </w:r>
      <w:r w:rsidR="00972EF0" w:rsidRPr="00972EF0">
        <w:rPr>
          <w:rFonts w:ascii="Simplified Arabic" w:hAnsi="Simplified Arabic" w:cs="Simplified Arabic"/>
          <w:b/>
          <w:bCs/>
          <w:sz w:val="28"/>
          <w:szCs w:val="28"/>
          <w:rtl/>
          <w:lang w:bidi="ar-LB"/>
        </w:rPr>
        <w:t xml:space="preserve"> عند توزيع المقاعد</w:t>
      </w:r>
    </w:p>
    <w:p w:rsidR="001B1A16" w:rsidRPr="00972EF0" w:rsidRDefault="00D2585F" w:rsidP="00972EF0">
      <w:pPr>
        <w:autoSpaceDE w:val="0"/>
        <w:autoSpaceDN w:val="0"/>
        <w:bidi/>
        <w:adjustRightInd w:val="0"/>
        <w:spacing w:after="0" w:line="252"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جريدة الأخبار 28/3/2018</w:t>
      </w:r>
      <w:bookmarkStart w:id="0" w:name="_GoBack"/>
      <w:bookmarkEnd w:id="0"/>
    </w:p>
    <w:p w:rsidR="001B1A16" w:rsidRPr="00972EF0" w:rsidRDefault="001B1A16" w:rsidP="00972EF0">
      <w:pPr>
        <w:autoSpaceDE w:val="0"/>
        <w:autoSpaceDN w:val="0"/>
        <w:bidi/>
        <w:adjustRightInd w:val="0"/>
        <w:spacing w:after="0" w:line="252" w:lineRule="auto"/>
        <w:jc w:val="right"/>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عصام نعمة إسماعيل</w:t>
      </w:r>
    </w:p>
    <w:p w:rsidR="001B1A16" w:rsidRPr="00972EF0" w:rsidRDefault="001B1A16" w:rsidP="00972EF0">
      <w:pPr>
        <w:autoSpaceDE w:val="0"/>
        <w:autoSpaceDN w:val="0"/>
        <w:bidi/>
        <w:adjustRightInd w:val="0"/>
        <w:spacing w:after="0" w:line="252" w:lineRule="auto"/>
        <w:jc w:val="both"/>
        <w:rPr>
          <w:rFonts w:ascii="Simplified Arabic" w:hAnsi="Simplified Arabic" w:cs="Simplified Arabic"/>
          <w:sz w:val="28"/>
          <w:szCs w:val="28"/>
          <w:rtl/>
          <w:lang w:bidi="ar-LB"/>
        </w:rPr>
      </w:pPr>
    </w:p>
    <w:p w:rsidR="003B108D" w:rsidRPr="00972EF0" w:rsidRDefault="003B108D" w:rsidP="00972EF0">
      <w:pPr>
        <w:pStyle w:val="NormalWeb"/>
        <w:bidi/>
        <w:jc w:val="both"/>
        <w:rPr>
          <w:rFonts w:ascii="Simplified Arabic" w:eastAsiaTheme="minorHAnsi" w:hAnsi="Simplified Arabic" w:cs="Simplified Arabic"/>
          <w:color w:val="auto"/>
          <w:sz w:val="28"/>
          <w:szCs w:val="28"/>
          <w:rtl/>
          <w:lang w:eastAsia="en-US"/>
        </w:rPr>
      </w:pPr>
    </w:p>
    <w:p w:rsidR="003B108D" w:rsidRPr="00972EF0" w:rsidRDefault="003B108D" w:rsidP="00FF5BB7">
      <w:pPr>
        <w:pStyle w:val="NormalWeb"/>
        <w:bidi/>
        <w:jc w:val="both"/>
        <w:rPr>
          <w:rFonts w:ascii="Simplified Arabic" w:hAnsi="Simplified Arabic" w:cs="Simplified Arabic"/>
          <w:color w:val="auto"/>
          <w:sz w:val="28"/>
          <w:szCs w:val="28"/>
          <w:rtl/>
        </w:rPr>
      </w:pPr>
      <w:r w:rsidRPr="00972EF0">
        <w:rPr>
          <w:rFonts w:ascii="Simplified Arabic" w:hAnsi="Simplified Arabic" w:cs="Simplified Arabic"/>
          <w:color w:val="auto"/>
          <w:sz w:val="28"/>
          <w:szCs w:val="28"/>
          <w:rtl/>
        </w:rPr>
        <w:t xml:space="preserve">كان  القانون 25/2008 يعتبر أن الأوراق البيضاء تعدّ تصويتا صحيحا ولا تحتسب من ضمن الأوراق الباطلة، وكانت هذه القاعدة معتمدة في ظلّ النظام الأكثري بحيث أن احتساب الأوراق البيضاء ضمن المقترعين لا يؤّثر على توزيع المقاعد، وذلك أياً كانت نسبة الأوراق البيضاء، فمثلاُ في انتخابات بعبدا عاليه الفرعية (2003) بلغت نسبة الأوراق البيضاء والملغاة 2.6% من إجمالي المقترعين، وهي نسبة مرتفعة جداً، </w:t>
      </w:r>
      <w:r w:rsidRPr="00972EF0">
        <w:rPr>
          <w:rFonts w:ascii="Simplified Arabic" w:hAnsi="Simplified Arabic" w:cs="Simplified Arabic"/>
          <w:color w:val="auto"/>
          <w:sz w:val="28"/>
          <w:szCs w:val="28"/>
          <w:rtl/>
          <w:lang w:bidi="ar-SA"/>
        </w:rPr>
        <w:t xml:space="preserve">ودائماً ما يكون الامتناع عن التصويت أو الاقتراع بورقة بيضاء </w:t>
      </w:r>
      <w:r w:rsidR="00FF5BB7">
        <w:rPr>
          <w:rFonts w:ascii="Simplified Arabic" w:hAnsi="Simplified Arabic" w:cs="Simplified Arabic" w:hint="cs"/>
          <w:color w:val="auto"/>
          <w:sz w:val="28"/>
          <w:szCs w:val="28"/>
          <w:rtl/>
          <w:lang w:bidi="ar-SA"/>
        </w:rPr>
        <w:t xml:space="preserve">بمثابة تعبير عن موقف سياسي متمثل بعدم </w:t>
      </w:r>
      <w:r w:rsidRPr="00972EF0">
        <w:rPr>
          <w:rFonts w:ascii="Simplified Arabic" w:hAnsi="Simplified Arabic" w:cs="Simplified Arabic"/>
          <w:color w:val="auto"/>
          <w:sz w:val="28"/>
          <w:szCs w:val="28"/>
          <w:rtl/>
          <w:lang w:bidi="ar-SA"/>
        </w:rPr>
        <w:t>رضى الشعب على السياسات التي تنتهجها</w:t>
      </w:r>
      <w:r w:rsidR="00972EF0" w:rsidRPr="00972EF0">
        <w:rPr>
          <w:rFonts w:ascii="Simplified Arabic" w:hAnsi="Simplified Arabic" w:cs="Simplified Arabic"/>
          <w:color w:val="auto"/>
          <w:sz w:val="28"/>
          <w:szCs w:val="28"/>
          <w:rtl/>
          <w:lang w:bidi="ar-SA"/>
        </w:rPr>
        <w:t xml:space="preserve"> القوى ال</w:t>
      </w:r>
      <w:r w:rsidR="00FF5BB7">
        <w:rPr>
          <w:rFonts w:ascii="Simplified Arabic" w:hAnsi="Simplified Arabic" w:cs="Simplified Arabic" w:hint="cs"/>
          <w:color w:val="auto"/>
          <w:sz w:val="28"/>
          <w:szCs w:val="28"/>
          <w:rtl/>
          <w:lang w:bidi="ar-SA"/>
        </w:rPr>
        <w:t>مشاركة في الانتخابات</w:t>
      </w:r>
      <w:r w:rsidRPr="00972EF0">
        <w:rPr>
          <w:rFonts w:ascii="Simplified Arabic" w:hAnsi="Simplified Arabic" w:cs="Simplified Arabic"/>
          <w:color w:val="auto"/>
          <w:sz w:val="28"/>
          <w:szCs w:val="28"/>
          <w:rtl/>
          <w:lang w:bidi="ar-SA"/>
        </w:rPr>
        <w:t>.</w:t>
      </w:r>
    </w:p>
    <w:p w:rsidR="00972EF0" w:rsidRPr="00972EF0" w:rsidRDefault="00972EF0" w:rsidP="00FF5BB7">
      <w:pPr>
        <w:autoSpaceDE w:val="0"/>
        <w:autoSpaceDN w:val="0"/>
        <w:bidi/>
        <w:adjustRightInd w:val="0"/>
        <w:spacing w:after="0" w:line="252" w:lineRule="auto"/>
        <w:jc w:val="both"/>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لكن مع تغيير نظام الاقتراع واعتماد النسبية، فإن احتساب الأوراق البيضاء إذا كانت نسبته مرتفعة ومتجاوزة للحاصل الانتخابي، فإن هذه الأوراق ستحجب مقعداً نيابياً</w:t>
      </w:r>
      <w:r w:rsidR="00FF5BB7">
        <w:rPr>
          <w:rFonts w:ascii="Simplified Arabic" w:hAnsi="Simplified Arabic" w:cs="Simplified Arabic" w:hint="cs"/>
          <w:sz w:val="28"/>
          <w:szCs w:val="28"/>
          <w:rtl/>
          <w:lang w:bidi="ar-LB"/>
        </w:rPr>
        <w:t>،</w:t>
      </w:r>
      <w:r w:rsidRPr="00972EF0">
        <w:rPr>
          <w:rFonts w:ascii="Simplified Arabic" w:hAnsi="Simplified Arabic" w:cs="Simplified Arabic"/>
          <w:sz w:val="28"/>
          <w:szCs w:val="28"/>
          <w:rtl/>
          <w:lang w:bidi="ar-LB"/>
        </w:rPr>
        <w:t xml:space="preserve"> مثلاً: لو كان عدد المقترعين 12000 مقترع لدائرة من ستة مقاعد، بحيث نالت لائحة (أ) 6000 صوت، ولائحة (ب) 4000 صوت، وكان هناك 2000 ورقة بيضاء، فهذا يعني أن اللائحة (أ) حصلت على ثلاث مقاعد واللائحة (ب) على مقعدين، وبقي مقعد استحال إسناده لأي لائحه لأن الأوراق بيضاء حجبته عن اللائحتين المتنافستين.</w:t>
      </w:r>
    </w:p>
    <w:p w:rsidR="00972EF0" w:rsidRPr="00972EF0" w:rsidRDefault="00972EF0" w:rsidP="00972EF0">
      <w:pPr>
        <w:autoSpaceDE w:val="0"/>
        <w:autoSpaceDN w:val="0"/>
        <w:bidi/>
        <w:adjustRightInd w:val="0"/>
        <w:spacing w:after="0" w:line="252" w:lineRule="auto"/>
        <w:jc w:val="both"/>
        <w:rPr>
          <w:rFonts w:ascii="Simplified Arabic" w:hAnsi="Simplified Arabic" w:cs="Simplified Arabic"/>
          <w:sz w:val="28"/>
          <w:szCs w:val="28"/>
          <w:rtl/>
          <w:lang w:bidi="ar-LB"/>
        </w:rPr>
      </w:pPr>
    </w:p>
    <w:p w:rsidR="003A2DBF" w:rsidRPr="00972EF0" w:rsidRDefault="00972EF0" w:rsidP="00972EF0">
      <w:pPr>
        <w:autoSpaceDE w:val="0"/>
        <w:autoSpaceDN w:val="0"/>
        <w:bidi/>
        <w:adjustRightInd w:val="0"/>
        <w:spacing w:after="0" w:line="252" w:lineRule="auto"/>
        <w:jc w:val="both"/>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 xml:space="preserve">ولهذا فإن </w:t>
      </w:r>
      <w:r w:rsidR="003C5BB5" w:rsidRPr="00972EF0">
        <w:rPr>
          <w:rFonts w:ascii="Simplified Arabic" w:hAnsi="Simplified Arabic" w:cs="Simplified Arabic"/>
          <w:sz w:val="28"/>
          <w:szCs w:val="28"/>
          <w:rtl/>
          <w:lang w:bidi="ar-LB"/>
        </w:rPr>
        <w:t>المادة 103</w:t>
      </w:r>
      <w:r w:rsidRPr="00972EF0">
        <w:rPr>
          <w:rFonts w:ascii="Simplified Arabic" w:hAnsi="Simplified Arabic" w:cs="Simplified Arabic"/>
          <w:sz w:val="28"/>
          <w:szCs w:val="28"/>
          <w:rtl/>
          <w:lang w:bidi="ar-LB"/>
        </w:rPr>
        <w:t xml:space="preserve">  من قانون الانتخاب التي تنصّ على أن </w:t>
      </w:r>
      <w:r w:rsidR="003C5BB5" w:rsidRPr="00972EF0">
        <w:rPr>
          <w:rFonts w:ascii="Simplified Arabic" w:hAnsi="Simplified Arabic" w:cs="Simplified Arabic"/>
          <w:sz w:val="28"/>
          <w:szCs w:val="28"/>
          <w:rtl/>
          <w:lang w:bidi="ar-LB"/>
        </w:rPr>
        <w:t>تعتبر الأوراق التي لم تتضمن أي اقتراع للائحة وللأصوات التفضيلية أوراقاً بيضاء تحتسب من ضمن عدد أصوات المقترعين المحتسبين.</w:t>
      </w:r>
    </w:p>
    <w:p w:rsidR="003C5BB5" w:rsidRPr="00972EF0" w:rsidRDefault="00972EF0" w:rsidP="00972EF0">
      <w:pPr>
        <w:bidi/>
        <w:jc w:val="both"/>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فهذه المادة يجب أن تفسّر على أنها تعني احتساب الأوراق البيضاء ضمن المجموع العام للمقترعين أو على الأكثر عند الاحتساب الأول الذي يسبق إخراج اللوائح</w:t>
      </w:r>
      <w:r w:rsidR="00FF5BB7">
        <w:rPr>
          <w:rFonts w:ascii="Simplified Arabic" w:hAnsi="Simplified Arabic" w:cs="Simplified Arabic" w:hint="cs"/>
          <w:sz w:val="28"/>
          <w:szCs w:val="28"/>
          <w:rtl/>
          <w:lang w:bidi="ar-LB"/>
        </w:rPr>
        <w:t xml:space="preserve"> التي</w:t>
      </w:r>
      <w:r w:rsidRPr="00972EF0">
        <w:rPr>
          <w:rFonts w:ascii="Simplified Arabic" w:hAnsi="Simplified Arabic" w:cs="Simplified Arabic"/>
          <w:sz w:val="28"/>
          <w:szCs w:val="28"/>
          <w:rtl/>
          <w:lang w:bidi="ar-LB"/>
        </w:rPr>
        <w:t xml:space="preserve"> لم تنل الحاصل الانتخابي.</w:t>
      </w:r>
    </w:p>
    <w:p w:rsidR="00972EF0" w:rsidRPr="00972EF0" w:rsidRDefault="00972EF0" w:rsidP="00972EF0">
      <w:pPr>
        <w:bidi/>
        <w:jc w:val="both"/>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وما يعزز هذا التفسير أن قانون الانتخاب (الفقرة 3 من المادة 99 ) أخرج من الاحتساب التصويت الصحيح للوائح التي لم تنل الحاصل الانتخابي. فكيف نحذف أصوات ناخبين اقترعوا للوائح مشاركة في العملية الانتخابية، وفي ذات الوقت ندخل في الاحتساب المقترعين بالورقة البيضاء</w:t>
      </w:r>
      <w:r w:rsidR="00FF5BB7">
        <w:rPr>
          <w:rFonts w:ascii="Simplified Arabic" w:hAnsi="Simplified Arabic" w:cs="Simplified Arabic" w:hint="cs"/>
          <w:sz w:val="28"/>
          <w:szCs w:val="28"/>
          <w:rtl/>
          <w:lang w:bidi="ar-LB"/>
        </w:rPr>
        <w:t>؟</w:t>
      </w:r>
      <w:r w:rsidRPr="00972EF0">
        <w:rPr>
          <w:rFonts w:ascii="Simplified Arabic" w:hAnsi="Simplified Arabic" w:cs="Simplified Arabic"/>
          <w:sz w:val="28"/>
          <w:szCs w:val="28"/>
          <w:rtl/>
          <w:lang w:bidi="ar-LB"/>
        </w:rPr>
        <w:t>.</w:t>
      </w:r>
    </w:p>
    <w:p w:rsidR="00972EF0" w:rsidRPr="00972EF0" w:rsidRDefault="00972EF0" w:rsidP="00972EF0">
      <w:pPr>
        <w:bidi/>
        <w:jc w:val="both"/>
        <w:rPr>
          <w:rFonts w:ascii="Simplified Arabic" w:hAnsi="Simplified Arabic" w:cs="Simplified Arabic"/>
          <w:sz w:val="28"/>
          <w:szCs w:val="28"/>
          <w:rtl/>
          <w:lang w:bidi="ar-LB"/>
        </w:rPr>
      </w:pPr>
      <w:r w:rsidRPr="00972EF0">
        <w:rPr>
          <w:rFonts w:ascii="Simplified Arabic" w:hAnsi="Simplified Arabic" w:cs="Simplified Arabic"/>
          <w:sz w:val="28"/>
          <w:szCs w:val="28"/>
          <w:rtl/>
          <w:lang w:bidi="ar-LB"/>
        </w:rPr>
        <w:t>إن هذا القول يخالف المنطق ويؤدي إلى محاذير غير مقبولة. وعليه فإن الأوراق البيضاء شأنها شأن الأوراق المقترعة للوائح غير مؤهلة لا تدخل في الاحتساب عند توزيع المقاعد على اللوائح المؤهلة.</w:t>
      </w:r>
    </w:p>
    <w:p w:rsidR="00972EF0" w:rsidRDefault="00972EF0" w:rsidP="00972EF0">
      <w:pPr>
        <w:bidi/>
        <w:rPr>
          <w:rFonts w:ascii="Arial" w:hAnsi="Arial" w:cs="Arial"/>
          <w:color w:val="800000"/>
          <w:sz w:val="28"/>
          <w:szCs w:val="28"/>
          <w:rtl/>
          <w:lang w:bidi="ar-LB"/>
        </w:rPr>
      </w:pPr>
    </w:p>
    <w:p w:rsidR="003C5BB5" w:rsidRDefault="00972EF0" w:rsidP="003C5BB5">
      <w:pPr>
        <w:bidi/>
      </w:pPr>
      <w:r>
        <w:rPr>
          <w:rFonts w:ascii="Arial" w:hAnsi="Arial" w:cs="Arial" w:hint="cs"/>
          <w:color w:val="0000FF"/>
          <w:sz w:val="36"/>
          <w:szCs w:val="36"/>
          <w:rtl/>
          <w:lang w:bidi="ar-LB"/>
        </w:rPr>
        <w:t xml:space="preserve"> </w:t>
      </w:r>
    </w:p>
    <w:sectPr w:rsidR="003C5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2C" w:rsidRDefault="0018682C" w:rsidP="003B108D">
      <w:pPr>
        <w:spacing w:after="0" w:line="240" w:lineRule="auto"/>
      </w:pPr>
      <w:r>
        <w:separator/>
      </w:r>
    </w:p>
  </w:endnote>
  <w:endnote w:type="continuationSeparator" w:id="0">
    <w:p w:rsidR="0018682C" w:rsidRDefault="0018682C" w:rsidP="003B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2C" w:rsidRDefault="0018682C" w:rsidP="003B108D">
      <w:pPr>
        <w:spacing w:after="0" w:line="240" w:lineRule="auto"/>
      </w:pPr>
      <w:r>
        <w:separator/>
      </w:r>
    </w:p>
  </w:footnote>
  <w:footnote w:type="continuationSeparator" w:id="0">
    <w:p w:rsidR="0018682C" w:rsidRDefault="0018682C" w:rsidP="003B1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BF"/>
    <w:rsid w:val="00102E82"/>
    <w:rsid w:val="0018682C"/>
    <w:rsid w:val="001B1A16"/>
    <w:rsid w:val="003A2DBF"/>
    <w:rsid w:val="003B108D"/>
    <w:rsid w:val="003C5BB5"/>
    <w:rsid w:val="00972EF0"/>
    <w:rsid w:val="00AB16E9"/>
    <w:rsid w:val="00D2585F"/>
    <w:rsid w:val="00FF5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A8611-6A1F-46F5-B227-A892F667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DBF"/>
    <w:rPr>
      <w:color w:val="0563C1" w:themeColor="hyperlink"/>
      <w:u w:val="single"/>
    </w:rPr>
  </w:style>
  <w:style w:type="paragraph" w:styleId="FootnoteText">
    <w:name w:val="footnote text"/>
    <w:basedOn w:val="Normal"/>
    <w:link w:val="FootnoteTextChar"/>
    <w:semiHidden/>
    <w:rsid w:val="003B108D"/>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3B108D"/>
    <w:rPr>
      <w:rFonts w:ascii="Times New Roman" w:eastAsia="SimSun" w:hAnsi="Times New Roman" w:cs="Times New Roman"/>
      <w:sz w:val="20"/>
      <w:szCs w:val="20"/>
      <w:lang w:eastAsia="zh-CN"/>
    </w:rPr>
  </w:style>
  <w:style w:type="character" w:styleId="FootnoteReference">
    <w:name w:val="footnote reference"/>
    <w:semiHidden/>
    <w:rsid w:val="003B108D"/>
    <w:rPr>
      <w:vertAlign w:val="superscript"/>
    </w:rPr>
  </w:style>
  <w:style w:type="paragraph" w:styleId="NormalWeb">
    <w:name w:val="Normal (Web)"/>
    <w:basedOn w:val="Normal"/>
    <w:rsid w:val="003B108D"/>
    <w:pPr>
      <w:spacing w:after="0" w:line="240" w:lineRule="auto"/>
    </w:pPr>
    <w:rPr>
      <w:rFonts w:ascii="Times New Roman" w:eastAsia="SimSun" w:hAnsi="Times New Roman" w:cs="Times New Roman"/>
      <w:color w:val="000000"/>
      <w:sz w:val="24"/>
      <w:szCs w:val="24"/>
      <w:lang w:eastAsia="zh-CN"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2018-03-27T06:51:00Z</dcterms:created>
  <dcterms:modified xsi:type="dcterms:W3CDTF">2018-03-28T18:30:00Z</dcterms:modified>
</cp:coreProperties>
</file>