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C1" w:rsidRPr="00BD19B0" w:rsidRDefault="00E57AC1" w:rsidP="00E57AC1">
      <w:pPr>
        <w:bidi/>
        <w:jc w:val="center"/>
        <w:rPr>
          <w:rFonts w:ascii="Simplified Arabic" w:hAnsi="Simplified Arabic" w:cs="Simplified Arabic"/>
          <w:b/>
          <w:bCs/>
          <w:sz w:val="28"/>
          <w:szCs w:val="28"/>
          <w:rtl/>
          <w:lang w:bidi="ar-LB"/>
        </w:rPr>
      </w:pPr>
      <w:r w:rsidRPr="00BD19B0">
        <w:rPr>
          <w:rFonts w:ascii="Simplified Arabic" w:hAnsi="Simplified Arabic" w:cs="Simplified Arabic"/>
          <w:b/>
          <w:bCs/>
          <w:sz w:val="28"/>
          <w:szCs w:val="28"/>
          <w:rtl/>
          <w:lang w:bidi="ar-LB"/>
        </w:rPr>
        <w:t>الشكليات المستحيلة</w:t>
      </w:r>
    </w:p>
    <w:p w:rsidR="00E57AC1" w:rsidRPr="00BD19B0" w:rsidRDefault="00E57AC1" w:rsidP="00E57AC1">
      <w:pPr>
        <w:bidi/>
        <w:jc w:val="center"/>
        <w:rPr>
          <w:rFonts w:ascii="Simplified Arabic" w:hAnsi="Simplified Arabic" w:cs="Simplified Arabic"/>
          <w:b/>
          <w:bCs/>
          <w:sz w:val="28"/>
          <w:szCs w:val="28"/>
          <w:rtl/>
          <w:lang w:bidi="ar-LB"/>
        </w:rPr>
      </w:pPr>
      <w:r w:rsidRPr="00BD19B0">
        <w:rPr>
          <w:rFonts w:ascii="Simplified Arabic" w:hAnsi="Simplified Arabic" w:cs="Simplified Arabic"/>
          <w:b/>
          <w:bCs/>
          <w:sz w:val="28"/>
          <w:szCs w:val="28"/>
          <w:rtl/>
          <w:lang w:bidi="ar-LB"/>
        </w:rPr>
        <w:t>حق الوصول إلى المعلومات لا يعيقه عدم إقرار قانون إنشاء الهيئة الوطنية لمكافحة الفساد</w:t>
      </w:r>
    </w:p>
    <w:p w:rsidR="00E57AC1" w:rsidRPr="00BD19B0" w:rsidRDefault="00E57AC1" w:rsidP="00E57AC1">
      <w:pPr>
        <w:bidi/>
        <w:jc w:val="right"/>
        <w:rPr>
          <w:rFonts w:ascii="Simplified Arabic" w:hAnsi="Simplified Arabic" w:cs="Simplified Arabic"/>
          <w:sz w:val="28"/>
          <w:szCs w:val="28"/>
          <w:lang w:bidi="ar-LB"/>
        </w:rPr>
      </w:pPr>
      <w:r w:rsidRPr="00BD19B0">
        <w:rPr>
          <w:rFonts w:ascii="Simplified Arabic" w:hAnsi="Simplified Arabic" w:cs="Simplified Arabic"/>
          <w:sz w:val="28"/>
          <w:szCs w:val="28"/>
          <w:rtl/>
          <w:lang w:bidi="ar-LB"/>
        </w:rPr>
        <w:t>عصام نعمة إسماعيل</w:t>
      </w:r>
    </w:p>
    <w:p w:rsidR="00E57AC1" w:rsidRPr="00BD19B0" w:rsidRDefault="00E57AC1" w:rsidP="00E57AC1">
      <w:pPr>
        <w:bidi/>
        <w:rPr>
          <w:rFonts w:ascii="Simplified Arabic" w:hAnsi="Simplified Arabic" w:cs="Simplified Arabic"/>
          <w:sz w:val="28"/>
          <w:szCs w:val="28"/>
          <w:rtl/>
        </w:rPr>
      </w:pPr>
    </w:p>
    <w:p w:rsidR="00E57AC1" w:rsidRPr="00BD19B0" w:rsidRDefault="00360DE9" w:rsidP="00360DE9">
      <w:pPr>
        <w:bidi/>
        <w:jc w:val="both"/>
        <w:rPr>
          <w:rFonts w:ascii="Simplified Arabic" w:hAnsi="Simplified Arabic" w:cs="Simplified Arabic"/>
          <w:sz w:val="28"/>
          <w:szCs w:val="28"/>
          <w:rtl/>
        </w:rPr>
      </w:pPr>
      <w:r>
        <w:rPr>
          <w:rFonts w:ascii="Simplified Arabic" w:hAnsi="Simplified Arabic" w:cs="Simplified Arabic" w:hint="cs"/>
          <w:sz w:val="28"/>
          <w:szCs w:val="28"/>
          <w:rtl/>
        </w:rPr>
        <w:t>لم تلتزم كافة الإدارات العامة بتطبيق ا</w:t>
      </w:r>
      <w:r w:rsidR="00E57AC1" w:rsidRPr="00BD19B0">
        <w:rPr>
          <w:rFonts w:ascii="Simplified Arabic" w:hAnsi="Simplified Arabic" w:cs="Simplified Arabic"/>
          <w:sz w:val="28"/>
          <w:szCs w:val="28"/>
          <w:rtl/>
        </w:rPr>
        <w:t>لقانون رقم 28 تاريخ 10/2/2017 (الحق في الوصول إلى المعلومات)، حيث كانت بعض الإدارات تتم</w:t>
      </w:r>
      <w:r>
        <w:rPr>
          <w:rFonts w:ascii="Simplified Arabic" w:hAnsi="Simplified Arabic" w:cs="Simplified Arabic" w:hint="cs"/>
          <w:sz w:val="28"/>
          <w:szCs w:val="28"/>
          <w:rtl/>
        </w:rPr>
        <w:t>س</w:t>
      </w:r>
      <w:r w:rsidR="00E57AC1" w:rsidRPr="00BD19B0">
        <w:rPr>
          <w:rFonts w:ascii="Simplified Arabic" w:hAnsi="Simplified Arabic" w:cs="Simplified Arabic"/>
          <w:sz w:val="28"/>
          <w:szCs w:val="28"/>
          <w:rtl/>
        </w:rPr>
        <w:t xml:space="preserve">ك بحجج مختلفة للامتناع عن تزويد المواطن بالمستندات التي يرغب بالإطلاع عليها، وكانت أبرز هذه الحجج هي </w:t>
      </w:r>
      <w:r w:rsidR="00E57AC1" w:rsidRPr="00BD19B0">
        <w:rPr>
          <w:rFonts w:ascii="Simplified Arabic" w:hAnsi="Simplified Arabic" w:cs="Simplified Arabic"/>
          <w:sz w:val="28"/>
          <w:szCs w:val="28"/>
          <w:rtl/>
          <w:lang w:bidi="ar-LB"/>
        </w:rPr>
        <w:t xml:space="preserve">عدم إقرار قانون إنشاء الهيئة الوطنية لمكافحة الفساد. </w:t>
      </w:r>
      <w:r>
        <w:rPr>
          <w:rFonts w:ascii="Simplified Arabic" w:hAnsi="Simplified Arabic" w:cs="Simplified Arabic" w:hint="cs"/>
          <w:sz w:val="28"/>
          <w:szCs w:val="28"/>
          <w:rtl/>
          <w:lang w:bidi="ar-LB"/>
        </w:rPr>
        <w:t xml:space="preserve">وكتب الكثير من حججٍ وحججٍ مضادة حول مفاعيل عدم إنشاء الهيئة الإدارية المستقلة على سريان وتنفيذ قانون حق الوصول إلى المعلومات، إلى أن وصلت القضية إلى مجلس شورى الدولة الذي اتخذ قراراً حاسماً وبمقتضاه ألزم الإدارة بتنفيذ قانون حق الوصول إلى المعلومات </w:t>
      </w:r>
      <w:r w:rsidR="00E57AC1" w:rsidRPr="00BD19B0">
        <w:rPr>
          <w:rFonts w:ascii="Simplified Arabic" w:hAnsi="Simplified Arabic" w:cs="Simplified Arabic"/>
          <w:sz w:val="28"/>
          <w:szCs w:val="28"/>
          <w:rtl/>
          <w:lang w:bidi="ar-LB"/>
        </w:rPr>
        <w:t xml:space="preserve">بمعزلٍ عن إنشاء </w:t>
      </w:r>
      <w:r w:rsidR="00E57AC1" w:rsidRPr="00BD19B0">
        <w:rPr>
          <w:rFonts w:ascii="Simplified Arabic" w:hAnsi="Simplified Arabic" w:cs="Simplified Arabic"/>
          <w:sz w:val="28"/>
          <w:szCs w:val="28"/>
          <w:rtl/>
        </w:rPr>
        <w:t xml:space="preserve">الهيئة الإدارية المستقلة، وكان </w:t>
      </w:r>
      <w:r w:rsidR="00E57AC1" w:rsidRPr="00BD19B0">
        <w:rPr>
          <w:rFonts w:ascii="Simplified Arabic" w:hAnsi="Simplified Arabic" w:cs="Simplified Arabic"/>
          <w:sz w:val="28"/>
          <w:szCs w:val="28"/>
          <w:rtl/>
          <w:lang w:bidi="ar-LB"/>
        </w:rPr>
        <w:t xml:space="preserve">ذلك بموجب قراره الإعدادي </w:t>
      </w:r>
      <w:r w:rsidR="00E57AC1" w:rsidRPr="00BD19B0">
        <w:rPr>
          <w:rFonts w:ascii="Simplified Arabic" w:hAnsi="Simplified Arabic" w:cs="Simplified Arabic"/>
          <w:sz w:val="28"/>
          <w:szCs w:val="28"/>
          <w:rtl/>
        </w:rPr>
        <w:t>رق</w:t>
      </w:r>
      <w:bookmarkStart w:id="0" w:name="_GoBack"/>
      <w:bookmarkEnd w:id="0"/>
      <w:r w:rsidR="00E57AC1" w:rsidRPr="00BD19B0">
        <w:rPr>
          <w:rFonts w:ascii="Simplified Arabic" w:hAnsi="Simplified Arabic" w:cs="Simplified Arabic"/>
          <w:sz w:val="28"/>
          <w:szCs w:val="28"/>
          <w:rtl/>
        </w:rPr>
        <w:t>م 116/2019-2020 تاريخ 23/12/2019  د.سامر أنوس ورفاقه/ اتحاد بلديات الفيحاء.</w:t>
      </w:r>
    </w:p>
    <w:p w:rsidR="00360DE9" w:rsidRDefault="00E57AC1" w:rsidP="00360DE9">
      <w:pPr>
        <w:bidi/>
        <w:jc w:val="both"/>
        <w:rPr>
          <w:rFonts w:ascii="Simplified Arabic" w:hAnsi="Simplified Arabic" w:cs="Simplified Arabic"/>
          <w:sz w:val="28"/>
          <w:szCs w:val="28"/>
          <w:rtl/>
        </w:rPr>
      </w:pPr>
      <w:r w:rsidRPr="00BD19B0">
        <w:rPr>
          <w:rFonts w:ascii="Simplified Arabic" w:hAnsi="Simplified Arabic" w:cs="Simplified Arabic"/>
          <w:sz w:val="28"/>
          <w:szCs w:val="28"/>
          <w:rtl/>
        </w:rPr>
        <w:t xml:space="preserve">لقد صدر هذا القرار في المراجعة الرامية </w:t>
      </w:r>
      <w:r w:rsidR="00360DE9">
        <w:rPr>
          <w:rFonts w:ascii="Simplified Arabic" w:hAnsi="Simplified Arabic" w:cs="Simplified Arabic"/>
          <w:sz w:val="28"/>
          <w:szCs w:val="28"/>
          <w:rtl/>
        </w:rPr>
        <w:t>إلى إبطال القرار الضمني برفض ت</w:t>
      </w:r>
      <w:r w:rsidR="00360DE9">
        <w:rPr>
          <w:rFonts w:ascii="Simplified Arabic" w:hAnsi="Simplified Arabic" w:cs="Simplified Arabic" w:hint="cs"/>
          <w:sz w:val="28"/>
          <w:szCs w:val="28"/>
          <w:rtl/>
        </w:rPr>
        <w:t>سل</w:t>
      </w:r>
      <w:r w:rsidRPr="00BD19B0">
        <w:rPr>
          <w:rFonts w:ascii="Simplified Arabic" w:hAnsi="Simplified Arabic" w:cs="Simplified Arabic"/>
          <w:sz w:val="28"/>
          <w:szCs w:val="28"/>
          <w:rtl/>
        </w:rPr>
        <w:t>يم المعلومات بناءً على الطلب المقدّم استناداً إلى قانون حق الوصول إلى المعلومات. وأدلى المستدعون</w:t>
      </w:r>
      <w:r w:rsidR="00360DE9">
        <w:rPr>
          <w:rFonts w:ascii="Simplified Arabic" w:hAnsi="Simplified Arabic" w:cs="Simplified Arabic" w:hint="cs"/>
          <w:sz w:val="28"/>
          <w:szCs w:val="28"/>
          <w:rtl/>
        </w:rPr>
        <w:t xml:space="preserve"> (د. سامر أنوس ورفاقه)</w:t>
      </w:r>
      <w:r w:rsidRPr="00BD19B0">
        <w:rPr>
          <w:rFonts w:ascii="Simplified Arabic" w:hAnsi="Simplified Arabic" w:cs="Simplified Arabic"/>
          <w:sz w:val="28"/>
          <w:szCs w:val="28"/>
          <w:rtl/>
        </w:rPr>
        <w:t xml:space="preserve"> تأييداً لطلبهم </w:t>
      </w:r>
      <w:r w:rsidR="00360DE9">
        <w:rPr>
          <w:rFonts w:ascii="Simplified Arabic" w:hAnsi="Simplified Arabic" w:cs="Simplified Arabic" w:hint="cs"/>
          <w:sz w:val="28"/>
          <w:szCs w:val="28"/>
          <w:rtl/>
        </w:rPr>
        <w:t xml:space="preserve">أن </w:t>
      </w:r>
      <w:r w:rsidRPr="00BD19B0">
        <w:rPr>
          <w:rFonts w:ascii="Simplified Arabic" w:hAnsi="Simplified Arabic" w:cs="Simplified Arabic"/>
          <w:sz w:val="28"/>
          <w:szCs w:val="28"/>
          <w:rtl/>
        </w:rPr>
        <w:t xml:space="preserve">المادة 16 من القانون رقم 28 تاريخ 10/2/2017 حددت المهلة التي يتوجب فيها على الإدارة الرد على الطلب المقدم للحصول على المعلومات خمسة عشر يوماً من تاريخ تقديمه تحت طائلة اعتباره قراراً ضمنياً بالرفض.  </w:t>
      </w:r>
    </w:p>
    <w:p w:rsidR="00E57AC1" w:rsidRPr="00BD19B0" w:rsidRDefault="00E57AC1" w:rsidP="00360DE9">
      <w:pPr>
        <w:bidi/>
        <w:jc w:val="both"/>
        <w:rPr>
          <w:rFonts w:ascii="Simplified Arabic" w:hAnsi="Simplified Arabic" w:cs="Simplified Arabic"/>
          <w:sz w:val="28"/>
          <w:szCs w:val="28"/>
        </w:rPr>
      </w:pPr>
      <w:r w:rsidRPr="00BD19B0">
        <w:rPr>
          <w:rFonts w:ascii="Simplified Arabic" w:hAnsi="Simplified Arabic" w:cs="Simplified Arabic"/>
          <w:sz w:val="28"/>
          <w:szCs w:val="28"/>
          <w:rtl/>
        </w:rPr>
        <w:t xml:space="preserve">وكانت الإشكالية المثارة هي حول صلاحية مجلس شورى الدولة البت بهذه المراجعة، </w:t>
      </w:r>
      <w:r w:rsidR="00360DE9">
        <w:rPr>
          <w:rFonts w:ascii="Simplified Arabic" w:hAnsi="Simplified Arabic" w:cs="Simplified Arabic" w:hint="cs"/>
          <w:sz w:val="28"/>
          <w:szCs w:val="28"/>
          <w:rtl/>
        </w:rPr>
        <w:t>ف</w:t>
      </w:r>
      <w:r w:rsidRPr="00BD19B0">
        <w:rPr>
          <w:rFonts w:ascii="Simplified Arabic" w:hAnsi="Simplified Arabic" w:cs="Simplified Arabic"/>
          <w:sz w:val="28"/>
          <w:szCs w:val="28"/>
          <w:rtl/>
        </w:rPr>
        <w:t>المادة 19 من هذا القانون تمنح صاحب العلاقة حق مراجعة الهيئة الإدارية المستقلة المحددة في قانون إنشاء الهيئة الوطنية لمحافحة الفساد، وحيث أن قانون إنشاء الهيئة الوطنية لمكافحة الفساد لم يصدر بعد، فهذا ما طرح التساؤل حول جدوى وفاعلية طرق الطعن والمراجعة التي نصّ عليها قانون حق الوصول إلى المعلومات وما إذا كانت الإحالة إلى قانون غير موجود وهيئة غير منشأة من شأنها تعطيل أحكام القانون والحيلولة دون مراجعة القضاء الإداري مباشرة في سبيل الطعن بقرارات رفض الوصول إلى المعلومات.</w:t>
      </w:r>
    </w:p>
    <w:p w:rsidR="00E57AC1" w:rsidRPr="00BD19B0" w:rsidRDefault="00E57AC1" w:rsidP="00E57AC1">
      <w:pPr>
        <w:bidi/>
        <w:jc w:val="both"/>
        <w:rPr>
          <w:rFonts w:ascii="Simplified Arabic" w:hAnsi="Simplified Arabic" w:cs="Simplified Arabic"/>
          <w:sz w:val="28"/>
          <w:szCs w:val="28"/>
          <w:rtl/>
          <w:lang w:bidi="ar-LB"/>
        </w:rPr>
      </w:pPr>
      <w:r w:rsidRPr="00BD19B0">
        <w:rPr>
          <w:rFonts w:ascii="Simplified Arabic" w:hAnsi="Simplified Arabic" w:cs="Simplified Arabic"/>
          <w:sz w:val="28"/>
          <w:szCs w:val="28"/>
          <w:rtl/>
          <w:lang w:bidi="ar-LB"/>
        </w:rPr>
        <w:lastRenderedPageBreak/>
        <w:t xml:space="preserve">لم يجد المجلس في عدم  إنشاء </w:t>
      </w:r>
      <w:r w:rsidRPr="00BD19B0">
        <w:rPr>
          <w:rFonts w:ascii="Simplified Arabic" w:hAnsi="Simplified Arabic" w:cs="Simplified Arabic"/>
          <w:sz w:val="28"/>
          <w:szCs w:val="28"/>
          <w:rtl/>
        </w:rPr>
        <w:t xml:space="preserve">الهيئة الإدارية المستقلة </w:t>
      </w:r>
      <w:r w:rsidRPr="00BD19B0">
        <w:rPr>
          <w:rFonts w:ascii="Simplified Arabic" w:hAnsi="Simplified Arabic" w:cs="Simplified Arabic"/>
          <w:sz w:val="28"/>
          <w:szCs w:val="28"/>
          <w:rtl/>
          <w:lang w:bidi="ar-LB"/>
        </w:rPr>
        <w:t>أي مبرر لكي تنزع يد القضاء الإداري عن النظر في الطعون، معللاً أن مراجعة هذه الهيئة لا تشكل مرحلة واجبة السلوك قبل مراجعة مجلس شورى الدولة، مستنداً في تقرير هذا الحلّ الذي خلُصَ إليه إلى مبدأ أن الحق في مراجعة القضاء هو حق دستوري لا يمكن انكاره، وأن المادة 14 من العهد الدولي للحقوق المدنية والسياسة قد نصّ على حق التقاضي وأن تكون قضية كل صاحب مصلحة محل نظر منصف وعلني من قبل محكمة مختصة مستقلة وحيادية، وهذه المادة كان لها بنظر المجلس قوة النص الدستوري بالاستناد إلى الفقرة ب من مقدمة الدستور التي أدخلت المبادئ الواردة في المواثيق الدولية الصادرة عن منظمة الأمم المتحدة في متن الدستور.</w:t>
      </w:r>
    </w:p>
    <w:p w:rsidR="00E57AC1" w:rsidRPr="00BD19B0" w:rsidRDefault="00E57AC1" w:rsidP="00E57AC1">
      <w:pPr>
        <w:bidi/>
        <w:jc w:val="both"/>
        <w:rPr>
          <w:rFonts w:ascii="Simplified Arabic" w:hAnsi="Simplified Arabic" w:cs="Simplified Arabic"/>
          <w:sz w:val="28"/>
          <w:szCs w:val="28"/>
          <w:rtl/>
          <w:lang w:bidi="ar-LB"/>
        </w:rPr>
      </w:pPr>
      <w:r w:rsidRPr="00BD19B0">
        <w:rPr>
          <w:rFonts w:ascii="Simplified Arabic" w:hAnsi="Simplified Arabic" w:cs="Simplified Arabic"/>
          <w:sz w:val="28"/>
          <w:szCs w:val="28"/>
          <w:rtl/>
          <w:lang w:bidi="ar-LB"/>
        </w:rPr>
        <w:t>ولهذا فإن إعطاء الحق في الاعتراض أمام هيئات غير قضائية (ومنها:</w:t>
      </w:r>
      <w:r w:rsidRPr="00BD19B0">
        <w:rPr>
          <w:rFonts w:ascii="Simplified Arabic" w:hAnsi="Simplified Arabic" w:cs="Simplified Arabic"/>
          <w:sz w:val="28"/>
          <w:szCs w:val="28"/>
          <w:rtl/>
        </w:rPr>
        <w:t xml:space="preserve"> الهيئة الإدارية المستقلة)</w:t>
      </w:r>
      <w:r w:rsidRPr="00BD19B0">
        <w:rPr>
          <w:rFonts w:ascii="Simplified Arabic" w:hAnsi="Simplified Arabic" w:cs="Simplified Arabic"/>
          <w:sz w:val="28"/>
          <w:szCs w:val="28"/>
          <w:rtl/>
          <w:lang w:bidi="ar-LB"/>
        </w:rPr>
        <w:t xml:space="preserve"> لا يمكن أن يؤدي إلى إقفال باب اللجوء إلى هذا القضاء وبالتالي فإنه يبقى لصاحب العلاقة الخيار في مراجعة الهيئة أو القضاء المختص خاصة إذا لم تكن الهيئة قد أنشئت بعد بحيث لا يكون لصاحب العلاقة غير خيار اللجوء إلى القضاء.</w:t>
      </w:r>
    </w:p>
    <w:p w:rsidR="00E57AC1" w:rsidRPr="00BD19B0" w:rsidRDefault="00E57AC1" w:rsidP="00792FC8">
      <w:pPr>
        <w:bidi/>
        <w:jc w:val="both"/>
        <w:rPr>
          <w:rFonts w:ascii="Simplified Arabic" w:hAnsi="Simplified Arabic" w:cs="Simplified Arabic"/>
          <w:sz w:val="28"/>
          <w:szCs w:val="28"/>
          <w:rtl/>
          <w:lang w:bidi="ar-LB"/>
        </w:rPr>
      </w:pPr>
      <w:r w:rsidRPr="00BD19B0">
        <w:rPr>
          <w:rFonts w:ascii="Simplified Arabic" w:hAnsi="Simplified Arabic" w:cs="Simplified Arabic"/>
          <w:sz w:val="28"/>
          <w:szCs w:val="28"/>
          <w:rtl/>
        </w:rPr>
        <w:t xml:space="preserve">ولقد تماشى هذا الاجتهاد، مع ما استقرّ عليه المجلس من أن النصوص </w:t>
      </w:r>
      <w:r w:rsidRPr="00BD19B0">
        <w:rPr>
          <w:rFonts w:ascii="Simplified Arabic" w:hAnsi="Simplified Arabic" w:cs="Simplified Arabic"/>
          <w:sz w:val="28"/>
          <w:szCs w:val="28"/>
          <w:rtl/>
          <w:lang w:bidi="ar-LB"/>
        </w:rPr>
        <w:t>التشريعية الجديدة هي نافذة باستثناء بعض الأحكام التي يقتضي لجعلها نافذة، تدخل السلطة التنفيذية، إن لجهة إصدار النصوص التنظيمية التي تجعلها قابلة للتطبيق وإن لجهة إصدار الأعمال الإدارية التي تقضي بتشكيل الهيئات المكلفة بتطبيق التشريع الجديد</w:t>
      </w:r>
      <w:r w:rsidR="00792FC8" w:rsidRPr="00BD19B0">
        <w:rPr>
          <w:rFonts w:ascii="Simplified Arabic" w:hAnsi="Simplified Arabic" w:cs="Simplified Arabic"/>
          <w:sz w:val="28"/>
          <w:szCs w:val="28"/>
          <w:rtl/>
          <w:lang w:bidi="ar-LB"/>
        </w:rPr>
        <w:t xml:space="preserve"> </w:t>
      </w:r>
      <w:r w:rsidRPr="00BD19B0">
        <w:rPr>
          <w:rFonts w:ascii="Simplified Arabic" w:hAnsi="Simplified Arabic" w:cs="Simplified Arabic"/>
          <w:sz w:val="28"/>
          <w:szCs w:val="28"/>
          <w:rtl/>
          <w:lang w:bidi="ar-LB"/>
        </w:rPr>
        <w:t xml:space="preserve"> وذلك منعاً لأي " فراغ تشريعي " (</w:t>
      </w:r>
      <w:r w:rsidRPr="00BD19B0">
        <w:rPr>
          <w:rFonts w:ascii="Simplified Arabic" w:hAnsi="Simplified Arabic" w:cs="Simplified Arabic"/>
          <w:sz w:val="28"/>
          <w:szCs w:val="28"/>
          <w:lang w:bidi="ar-LB"/>
        </w:rPr>
        <w:t>vacum juris</w:t>
      </w:r>
      <w:r w:rsidRPr="00BD19B0">
        <w:rPr>
          <w:rFonts w:ascii="Simplified Arabic" w:hAnsi="Simplified Arabic" w:cs="Simplified Arabic"/>
          <w:sz w:val="28"/>
          <w:szCs w:val="28"/>
          <w:rtl/>
          <w:lang w:bidi="ar-LB"/>
        </w:rPr>
        <w:t>) يكون من شأنه أن يؤدي إلى عرقلة حسن سير العدالة وإحقاق الحق (</w:t>
      </w:r>
      <w:r w:rsidR="00792FC8" w:rsidRPr="00BD19B0">
        <w:rPr>
          <w:rFonts w:ascii="Simplified Arabic" w:hAnsi="Simplified Arabic" w:cs="Simplified Arabic"/>
          <w:sz w:val="28"/>
          <w:szCs w:val="28"/>
          <w:rtl/>
          <w:lang w:bidi="ar-LB"/>
        </w:rPr>
        <w:t>.ش. رقم 666 تاريخ 5/9/2002 م.ق.إ. 2005 ص 1130 – م.ش. رقم 346 تاريخ 10/3/2003 م.ق.إ. 2007 ص 680 – م.ش. رقم 247 تاريخ 31/12/2003 م.ق.إ. 2008 ص 446 – م.ش. رقم 303 تاريخ 20/1/2004 م.ق.إ. 2008 ص 540 – م.ش. رقم 624 تاريخ 13/5/2004 م.ق.إ. 2008 ص 1106</w:t>
      </w:r>
      <w:r w:rsidRPr="00BD19B0">
        <w:rPr>
          <w:rFonts w:ascii="Simplified Arabic" w:hAnsi="Simplified Arabic" w:cs="Simplified Arabic"/>
          <w:sz w:val="28"/>
          <w:szCs w:val="28"/>
          <w:rtl/>
          <w:lang w:bidi="ar-LB"/>
        </w:rPr>
        <w:t>).</w:t>
      </w:r>
    </w:p>
    <w:p w:rsidR="00792FC8" w:rsidRPr="00BD19B0" w:rsidRDefault="00792FC8" w:rsidP="00792FC8">
      <w:pPr>
        <w:bidi/>
        <w:jc w:val="both"/>
        <w:rPr>
          <w:rFonts w:ascii="Simplified Arabic" w:hAnsi="Simplified Arabic" w:cs="Simplified Arabic"/>
          <w:sz w:val="28"/>
          <w:szCs w:val="28"/>
          <w:rtl/>
        </w:rPr>
      </w:pPr>
      <w:r w:rsidRPr="00BD19B0">
        <w:rPr>
          <w:rFonts w:ascii="Simplified Arabic" w:hAnsi="Simplified Arabic" w:cs="Simplified Arabic"/>
          <w:sz w:val="28"/>
          <w:szCs w:val="28"/>
          <w:rtl/>
          <w:lang w:bidi="ar-LB"/>
        </w:rPr>
        <w:t xml:space="preserve">وتجاوز في هذا القرار المبدأي ما قضى به في قراره الصادر في قضية انطوان أوريان، الذي لم يلتفت يومها إلى عدم تشكيل المجلس الدستوري، فقرر مجلس شورى الدولة عدم صلاحيته للنظر في المراجعة الرامية إلى إبطال مرسوم دعوة الهيئات الناخبة معللاً يومها أنه لا محلّ للكلام على " فراغ قانوني " أو على " امتناع عن إحقاق الحق " عندما يكون مرجع آخر (مجلس النوّاب قبل إنشاء المجلس </w:t>
      </w:r>
      <w:r w:rsidRPr="00BD19B0">
        <w:rPr>
          <w:rFonts w:ascii="Simplified Arabic" w:hAnsi="Simplified Arabic" w:cs="Simplified Arabic"/>
          <w:sz w:val="28"/>
          <w:szCs w:val="28"/>
          <w:rtl/>
          <w:lang w:bidi="ar-LB"/>
        </w:rPr>
        <w:lastRenderedPageBreak/>
        <w:t xml:space="preserve">الدستوري في فرنسا أو في لبنان ، والمجلس الدستوري بعد ذلك ) صالحاً للنظر في الطعن المقدّم (مجلس القضايا قرار تاريخ 18 تموز 2007، انطوان أوريان/ الدولة – مجلس الوزراء – وزارة الداخلية والبلديات). </w:t>
      </w:r>
    </w:p>
    <w:p w:rsidR="00792FC8" w:rsidRPr="00BD19B0" w:rsidRDefault="00792FC8" w:rsidP="00792FC8">
      <w:pPr>
        <w:autoSpaceDE w:val="0"/>
        <w:autoSpaceDN w:val="0"/>
        <w:bidi/>
        <w:adjustRightInd w:val="0"/>
        <w:jc w:val="both"/>
        <w:rPr>
          <w:rFonts w:ascii="Simplified Arabic" w:hAnsi="Simplified Arabic" w:cs="Simplified Arabic"/>
          <w:sz w:val="28"/>
          <w:szCs w:val="28"/>
          <w:rtl/>
          <w:lang w:bidi="ar-LB"/>
        </w:rPr>
      </w:pPr>
      <w:r w:rsidRPr="00BD19B0">
        <w:rPr>
          <w:rFonts w:ascii="Simplified Arabic" w:hAnsi="Simplified Arabic" w:cs="Simplified Arabic"/>
          <w:sz w:val="28"/>
          <w:szCs w:val="28"/>
          <w:rtl/>
          <w:lang w:bidi="ar-LB"/>
        </w:rPr>
        <w:t xml:space="preserve">كما أعاد المجلس </w:t>
      </w:r>
      <w:r w:rsidRPr="00BD19B0">
        <w:rPr>
          <w:rFonts w:ascii="Simplified Arabic" w:hAnsi="Simplified Arabic" w:cs="Simplified Arabic"/>
          <w:sz w:val="28"/>
          <w:szCs w:val="28"/>
          <w:rtl/>
        </w:rPr>
        <w:t xml:space="preserve">تطبيق نظريته السابقة حول الشكليات المستحيلة، وبمقتضاها أنه </w:t>
      </w:r>
      <w:r w:rsidRPr="00BD19B0">
        <w:rPr>
          <w:rFonts w:ascii="Simplified Arabic" w:hAnsi="Simplified Arabic" w:cs="Simplified Arabic"/>
          <w:sz w:val="28"/>
          <w:szCs w:val="28"/>
          <w:rtl/>
          <w:lang w:bidi="ar-LB"/>
        </w:rPr>
        <w:t xml:space="preserve">يمكن عدم التقيد بالأصول أو المراسم الجوهرية عند استحالة إمكانية تطبيقها وقد عرفت هذه النظرية بنظرية الشكليات المستحيلة التي تتحقق عند وجود ظروف استثنائية أم قوة قاهرة أو عند استحالة مادية أم قانونية لاتمام الإجراء المعين أي لأخذ الرأي أم الموافقة معزواً إلى الهيئة الاستشارية ذاتها التي ترفض الاجتماع لإعطاء الرأي أم الموافقة المطلوبة ( م.ش. قرار رقم 778 تاريخ 8/9/1994 الدكتور فريد جبور/ الدولة والجامعة اللبنانية، م.ق.إ. 1995 ص 608؛ م.ش. قرار رقم 549 تاريخ 13/7/1994 الدكتور جوزف بطرس/ الدولة والجامعة اللبنانية ، م.ق.إ. 1995 ص 565). </w:t>
      </w:r>
    </w:p>
    <w:p w:rsidR="00BD19B0" w:rsidRDefault="00792FC8" w:rsidP="00BD19B0">
      <w:pPr>
        <w:bidi/>
        <w:jc w:val="lowKashida"/>
        <w:rPr>
          <w:rFonts w:ascii="Simplified Arabic" w:hAnsi="Simplified Arabic" w:cs="Simplified Arabic"/>
          <w:color w:val="000000"/>
          <w:sz w:val="28"/>
          <w:szCs w:val="28"/>
          <w:rtl/>
          <w:lang w:bidi="ar-LB"/>
        </w:rPr>
      </w:pPr>
      <w:r w:rsidRPr="00BD19B0">
        <w:rPr>
          <w:rFonts w:ascii="Simplified Arabic" w:hAnsi="Simplified Arabic" w:cs="Simplified Arabic"/>
          <w:sz w:val="28"/>
          <w:szCs w:val="28"/>
          <w:rtl/>
          <w:lang w:bidi="ar-LB"/>
        </w:rPr>
        <w:t xml:space="preserve">بهذا الحكم المبدأي، أزيلت العقبة امام تطبيق قانون حق الوصول إلى المعلومات وفقدت الإدارة الحجة الأساسية التي ترتكز إليها في ردّ طلبات الإطلاع على مستندات ووثائق، كما فتح هذا الحكم الباب أمام جهات قضائية أخرى لاتخاذ ذات الموقف </w:t>
      </w:r>
      <w:r w:rsidR="00BD19B0" w:rsidRPr="00BD19B0">
        <w:rPr>
          <w:rFonts w:ascii="Simplified Arabic" w:hAnsi="Simplified Arabic" w:cs="Simplified Arabic"/>
          <w:sz w:val="28"/>
          <w:szCs w:val="28"/>
          <w:rtl/>
          <w:lang w:bidi="ar-LB"/>
        </w:rPr>
        <w:t xml:space="preserve">لا سيما فيما يتعلق بمحاكمة الوزراء والرؤساء، حيث أن قانون </w:t>
      </w:r>
      <w:r w:rsidR="00BD19B0" w:rsidRPr="00BD19B0">
        <w:rPr>
          <w:rFonts w:ascii="Simplified Arabic" w:hAnsi="Simplified Arabic" w:cs="Simplified Arabic"/>
          <w:color w:val="000000"/>
          <w:sz w:val="28"/>
          <w:szCs w:val="28"/>
          <w:rtl/>
          <w:lang w:bidi="ar-LB"/>
        </w:rPr>
        <w:t xml:space="preserve">أصول المحاكمات أمام المجلس الأعلى، قد وضع أصولاً للملاحقة مستحيلة التطبيق،  تجعل من الواجب استبداله بقانونٍ آخر يكون قابلاً للتطبيق ومنسجماً وأحكام الدستور، وبانتظار صدور هذا القانون، فإن على القضاء العدلي، الاستناد إلى نظريات الشكليات المستحيلة </w:t>
      </w:r>
      <w:r w:rsidR="00BD19B0">
        <w:rPr>
          <w:rFonts w:ascii="Simplified Arabic" w:hAnsi="Simplified Arabic" w:cs="Simplified Arabic" w:hint="cs"/>
          <w:color w:val="000000"/>
          <w:sz w:val="28"/>
          <w:szCs w:val="28"/>
          <w:rtl/>
          <w:lang w:bidi="ar-LB"/>
        </w:rPr>
        <w:t xml:space="preserve">والاستفادة من قرار مجلس شورى الدولة محلّ التعليق، </w:t>
      </w:r>
      <w:r w:rsidR="00BD19B0" w:rsidRPr="00BD19B0">
        <w:rPr>
          <w:rFonts w:ascii="Simplified Arabic" w:hAnsi="Simplified Arabic" w:cs="Simplified Arabic"/>
          <w:color w:val="000000"/>
          <w:sz w:val="28"/>
          <w:szCs w:val="28"/>
          <w:rtl/>
          <w:lang w:bidi="ar-LB"/>
        </w:rPr>
        <w:t xml:space="preserve">واستعادة اختصاصه باعتباره صاحب الاختصاص الأصيل في </w:t>
      </w:r>
      <w:r w:rsidR="00BD19B0">
        <w:rPr>
          <w:rFonts w:ascii="Simplified Arabic" w:hAnsi="Simplified Arabic" w:cs="Simplified Arabic" w:hint="cs"/>
          <w:color w:val="000000"/>
          <w:sz w:val="28"/>
          <w:szCs w:val="28"/>
          <w:rtl/>
          <w:lang w:bidi="ar-LB"/>
        </w:rPr>
        <w:t>مجال الملاحقة الجزائية</w:t>
      </w:r>
      <w:r w:rsidR="00BD19B0" w:rsidRPr="00BD19B0">
        <w:rPr>
          <w:rFonts w:ascii="Simplified Arabic" w:hAnsi="Simplified Arabic" w:cs="Simplified Arabic"/>
          <w:color w:val="000000"/>
          <w:sz w:val="28"/>
          <w:szCs w:val="28"/>
          <w:rtl/>
          <w:lang w:bidi="ar-LB"/>
        </w:rPr>
        <w:t>.</w:t>
      </w:r>
    </w:p>
    <w:p w:rsidR="00DA54D4" w:rsidRDefault="00DA54D4" w:rsidP="00DA54D4">
      <w:pPr>
        <w:bidi/>
        <w:jc w:val="lowKashida"/>
        <w:rPr>
          <w:rFonts w:ascii="Simplified Arabic" w:hAnsi="Simplified Arabic" w:cs="Simplified Arabic"/>
          <w:color w:val="000000"/>
          <w:sz w:val="28"/>
          <w:szCs w:val="28"/>
          <w:rtl/>
          <w:lang w:bidi="ar-LB"/>
        </w:rPr>
      </w:pPr>
    </w:p>
    <w:p w:rsidR="00DA54D4" w:rsidRPr="00BD19B0" w:rsidRDefault="00DA54D4" w:rsidP="00DA54D4">
      <w:pPr>
        <w:bidi/>
        <w:jc w:val="lowKashida"/>
        <w:rPr>
          <w:rFonts w:ascii="Simplified Arabic" w:hAnsi="Simplified Arabic" w:cs="Simplified Arabic"/>
          <w:color w:val="000000"/>
          <w:sz w:val="28"/>
          <w:szCs w:val="28"/>
          <w:rtl/>
          <w:lang w:bidi="ar-LB"/>
        </w:rPr>
      </w:pPr>
      <w:hyperlink r:id="rId6" w:history="1">
        <w:r>
          <w:rPr>
            <w:rStyle w:val="Hyperlink"/>
          </w:rPr>
          <w:t>http://www.mahkama.net/?p=17544</w:t>
        </w:r>
      </w:hyperlink>
    </w:p>
    <w:sectPr w:rsidR="00DA54D4" w:rsidRPr="00BD19B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31" w:rsidRDefault="00442331" w:rsidP="00631E08">
      <w:pPr>
        <w:spacing w:after="0" w:line="240" w:lineRule="auto"/>
      </w:pPr>
      <w:r>
        <w:separator/>
      </w:r>
    </w:p>
  </w:endnote>
  <w:endnote w:type="continuationSeparator" w:id="0">
    <w:p w:rsidR="00442331" w:rsidRDefault="00442331" w:rsidP="0063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31" w:rsidRDefault="00442331" w:rsidP="00631E08">
      <w:pPr>
        <w:spacing w:after="0" w:line="240" w:lineRule="auto"/>
      </w:pPr>
      <w:r>
        <w:separator/>
      </w:r>
    </w:p>
  </w:footnote>
  <w:footnote w:type="continuationSeparator" w:id="0">
    <w:p w:rsidR="00442331" w:rsidRDefault="00442331" w:rsidP="00631E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DA"/>
    <w:rsid w:val="0011498D"/>
    <w:rsid w:val="001745DA"/>
    <w:rsid w:val="00360DE9"/>
    <w:rsid w:val="00442331"/>
    <w:rsid w:val="00501400"/>
    <w:rsid w:val="00631E08"/>
    <w:rsid w:val="006B071C"/>
    <w:rsid w:val="006D0520"/>
    <w:rsid w:val="00792FC8"/>
    <w:rsid w:val="0088387E"/>
    <w:rsid w:val="00A43E90"/>
    <w:rsid w:val="00AA1197"/>
    <w:rsid w:val="00B14338"/>
    <w:rsid w:val="00BD19B0"/>
    <w:rsid w:val="00C16F61"/>
    <w:rsid w:val="00C2284F"/>
    <w:rsid w:val="00C56882"/>
    <w:rsid w:val="00D55CE7"/>
    <w:rsid w:val="00DA31F1"/>
    <w:rsid w:val="00DA54D4"/>
    <w:rsid w:val="00E57AC1"/>
    <w:rsid w:val="00EB7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0B65A-6EF6-482C-87DE-B1015DF2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3E90"/>
    <w:pPr>
      <w:spacing w:after="200" w:line="276" w:lineRule="auto"/>
      <w:ind w:left="720"/>
      <w:contextualSpacing/>
    </w:pPr>
  </w:style>
  <w:style w:type="paragraph" w:styleId="FootnoteText">
    <w:name w:val="footnote text"/>
    <w:aliases w:val="Footnote Text Char Char Char,Footnote Text Char Char Char Char Char Char Char,Footnote Text Char Char Char Char Char,Char,Footnote Text Char1,5_G, Char Char Char, Char Char Char Char Char,Footnote Text Char Char,Footnote Text1, Char Char"/>
    <w:basedOn w:val="Normal"/>
    <w:link w:val="FootnoteTextChar"/>
    <w:unhideWhenUsed/>
    <w:rsid w:val="00631E08"/>
    <w:pPr>
      <w:spacing w:after="0" w:line="240" w:lineRule="auto"/>
    </w:pPr>
    <w:rPr>
      <w:rFonts w:eastAsia="MS Mincho"/>
      <w:sz w:val="20"/>
      <w:szCs w:val="20"/>
    </w:rPr>
  </w:style>
  <w:style w:type="character" w:customStyle="1" w:styleId="FootnoteTextChar">
    <w:name w:val="Footnote Text Char"/>
    <w:aliases w:val="Footnote Text Char Char Char Char,Footnote Text Char Char Char Char Char Char Char Char,Footnote Text Char Char Char Char Char Char,Char Char,Footnote Text Char1 Char,5_G Char, Char Char Char Char, Char Char Char Char Char Char"/>
    <w:basedOn w:val="DefaultParagraphFont"/>
    <w:link w:val="FootnoteText"/>
    <w:rsid w:val="00631E08"/>
    <w:rPr>
      <w:rFonts w:eastAsia="MS Mincho"/>
      <w:sz w:val="20"/>
      <w:szCs w:val="20"/>
    </w:rPr>
  </w:style>
  <w:style w:type="character" w:styleId="FootnoteReference">
    <w:name w:val="footnote reference"/>
    <w:aliases w:val="4_GA,4_G"/>
    <w:basedOn w:val="DefaultParagraphFont"/>
    <w:unhideWhenUsed/>
    <w:rsid w:val="00631E08"/>
    <w:rPr>
      <w:vertAlign w:val="superscript"/>
    </w:rPr>
  </w:style>
  <w:style w:type="character" w:styleId="Hyperlink">
    <w:name w:val="Hyperlink"/>
    <w:basedOn w:val="DefaultParagraphFont"/>
    <w:uiPriority w:val="99"/>
    <w:semiHidden/>
    <w:unhideWhenUsed/>
    <w:rsid w:val="00DA5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hkama.net/?p=175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6</cp:revision>
  <dcterms:created xsi:type="dcterms:W3CDTF">2019-12-24T20:50:00Z</dcterms:created>
  <dcterms:modified xsi:type="dcterms:W3CDTF">2019-12-26T09:59:00Z</dcterms:modified>
</cp:coreProperties>
</file>