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1AD" w:rsidRPr="00DC065A" w:rsidRDefault="004771AD" w:rsidP="00DC065A">
      <w:pPr>
        <w:autoSpaceDE w:val="0"/>
        <w:autoSpaceDN w:val="0"/>
        <w:bidi/>
        <w:adjustRightInd w:val="0"/>
        <w:spacing w:after="0" w:line="240" w:lineRule="auto"/>
        <w:jc w:val="both"/>
        <w:rPr>
          <w:rFonts w:ascii="Simplified Arabic" w:hAnsi="Simplified Arabic" w:cs="Simplified Arabic"/>
          <w:sz w:val="28"/>
          <w:szCs w:val="28"/>
          <w:rtl/>
        </w:rPr>
      </w:pPr>
      <w:bookmarkStart w:id="0" w:name="_GoBack"/>
    </w:p>
    <w:p w:rsidR="00C541FC" w:rsidRPr="00DC065A" w:rsidRDefault="00C541FC" w:rsidP="00DC065A">
      <w:pPr>
        <w:autoSpaceDE w:val="0"/>
        <w:autoSpaceDN w:val="0"/>
        <w:bidi/>
        <w:adjustRightInd w:val="0"/>
        <w:spacing w:after="0" w:line="240" w:lineRule="auto"/>
        <w:jc w:val="center"/>
        <w:rPr>
          <w:rFonts w:ascii="Simplified Arabic" w:hAnsi="Simplified Arabic" w:cs="Simplified Arabic"/>
          <w:b/>
          <w:bCs/>
          <w:sz w:val="28"/>
          <w:szCs w:val="28"/>
          <w:rtl/>
        </w:rPr>
      </w:pPr>
      <w:r w:rsidRPr="00DC065A">
        <w:rPr>
          <w:rFonts w:ascii="Simplified Arabic" w:hAnsi="Simplified Arabic" w:cs="Simplified Arabic"/>
          <w:b/>
          <w:bCs/>
          <w:sz w:val="28"/>
          <w:szCs w:val="28"/>
          <w:rtl/>
        </w:rPr>
        <w:t xml:space="preserve">لا بطلان لجلسة مجلس النواب </w:t>
      </w:r>
      <w:r w:rsidR="00DC065A" w:rsidRPr="00DC065A">
        <w:rPr>
          <w:rFonts w:ascii="Simplified Arabic" w:hAnsi="Simplified Arabic" w:cs="Simplified Arabic"/>
          <w:b/>
          <w:bCs/>
          <w:sz w:val="28"/>
          <w:szCs w:val="28"/>
          <w:rtl/>
        </w:rPr>
        <w:t>تاريخ 11 شباط 2020</w:t>
      </w:r>
    </w:p>
    <w:p w:rsidR="00C541FC" w:rsidRPr="00DC065A" w:rsidRDefault="00DC065A" w:rsidP="00DC065A">
      <w:pPr>
        <w:autoSpaceDE w:val="0"/>
        <w:autoSpaceDN w:val="0"/>
        <w:bidi/>
        <w:adjustRightInd w:val="0"/>
        <w:spacing w:after="0" w:line="240" w:lineRule="auto"/>
        <w:jc w:val="right"/>
        <w:rPr>
          <w:rFonts w:ascii="Simplified Arabic" w:hAnsi="Simplified Arabic" w:cs="Simplified Arabic"/>
          <w:sz w:val="28"/>
          <w:szCs w:val="28"/>
          <w:rtl/>
        </w:rPr>
      </w:pPr>
      <w:r w:rsidRPr="00DC065A">
        <w:rPr>
          <w:rFonts w:ascii="Simplified Arabic" w:hAnsi="Simplified Arabic" w:cs="Simplified Arabic"/>
          <w:sz w:val="28"/>
          <w:szCs w:val="28"/>
          <w:rtl/>
        </w:rPr>
        <w:t>عصام نعمة إسماعيل</w:t>
      </w:r>
    </w:p>
    <w:p w:rsidR="00DC065A" w:rsidRPr="00DC065A" w:rsidRDefault="00DC065A" w:rsidP="00DC065A">
      <w:pPr>
        <w:autoSpaceDE w:val="0"/>
        <w:autoSpaceDN w:val="0"/>
        <w:bidi/>
        <w:adjustRightInd w:val="0"/>
        <w:spacing w:after="0" w:line="240" w:lineRule="auto"/>
        <w:jc w:val="center"/>
        <w:rPr>
          <w:rFonts w:ascii="Simplified Arabic" w:hAnsi="Simplified Arabic" w:cs="Simplified Arabic"/>
          <w:sz w:val="28"/>
          <w:szCs w:val="28"/>
          <w:rtl/>
        </w:rPr>
      </w:pPr>
    </w:p>
    <w:p w:rsidR="00C541FC" w:rsidRPr="00DC065A" w:rsidRDefault="00C541FC" w:rsidP="00DC065A">
      <w:pPr>
        <w:bidi/>
        <w:jc w:val="both"/>
        <w:rPr>
          <w:rFonts w:ascii="Simplified Arabic" w:hAnsi="Simplified Arabic" w:cs="Simplified Arabic"/>
          <w:sz w:val="28"/>
          <w:szCs w:val="28"/>
          <w:rtl/>
        </w:rPr>
      </w:pPr>
      <w:r w:rsidRPr="00DC065A">
        <w:rPr>
          <w:rFonts w:ascii="Simplified Arabic" w:hAnsi="Simplified Arabic" w:cs="Simplified Arabic"/>
          <w:sz w:val="28"/>
          <w:szCs w:val="28"/>
          <w:rtl/>
        </w:rPr>
        <w:t>ان الدستور هو من فئة القواعد القانونية الآمرة</w:t>
      </w:r>
      <w:r w:rsidR="001E6D3D" w:rsidRPr="00DC065A">
        <w:rPr>
          <w:rFonts w:ascii="Simplified Arabic" w:hAnsi="Simplified Arabic" w:cs="Simplified Arabic"/>
          <w:sz w:val="28"/>
          <w:szCs w:val="28"/>
          <w:rtl/>
        </w:rPr>
        <w:t xml:space="preserve"> </w:t>
      </w:r>
      <w:r w:rsidRPr="00DC065A">
        <w:rPr>
          <w:rFonts w:ascii="Simplified Arabic" w:hAnsi="Simplified Arabic" w:cs="Simplified Arabic"/>
          <w:sz w:val="28"/>
          <w:szCs w:val="28"/>
          <w:rtl/>
        </w:rPr>
        <w:t xml:space="preserve">المتصِّلة بالنظام العام، والقواعد الآمرة هي قواعد </w:t>
      </w:r>
      <w:r w:rsidRPr="00DC065A">
        <w:rPr>
          <w:rFonts w:ascii="Simplified Arabic" w:hAnsi="Simplified Arabic" w:cs="Simplified Arabic"/>
          <w:sz w:val="28"/>
          <w:szCs w:val="28"/>
          <w:rtl/>
          <w:lang w:val="fr-BE" w:bidi="ar-LB"/>
        </w:rPr>
        <w:t>مكفولة بإجبار</w:t>
      </w:r>
      <w:r w:rsidRPr="00DC065A">
        <w:rPr>
          <w:rFonts w:ascii="Simplified Arabic" w:hAnsi="Simplified Arabic" w:cs="Simplified Arabic"/>
          <w:sz w:val="28"/>
          <w:szCs w:val="28"/>
          <w:rtl/>
          <w:lang w:bidi="ar-LB"/>
        </w:rPr>
        <w:t xml:space="preserve">، وعنصر الإجبار الموجود في القانون، إنما يعني سلطة الأمر، وكلّ أمرٍ هو بطبيعته يتضمَّن حتماً فكرة الإلزام. فإذا انتفى الإلزام في الأمر فإنه لا يكون أمراً وإنما يكون نصيحة فحسب.  </w:t>
      </w:r>
      <w:r w:rsidRPr="00DC065A">
        <w:rPr>
          <w:rFonts w:ascii="Simplified Arabic" w:hAnsi="Simplified Arabic" w:cs="Simplified Arabic"/>
          <w:sz w:val="28"/>
          <w:szCs w:val="28"/>
          <w:rtl/>
        </w:rPr>
        <w:t xml:space="preserve">ومن خلال عنصر الإجبار، حصل خلاف في الفقه حول التكييف القانوني </w:t>
      </w:r>
      <w:r w:rsidR="001E6D3D" w:rsidRPr="00DC065A">
        <w:rPr>
          <w:rFonts w:ascii="Simplified Arabic" w:hAnsi="Simplified Arabic" w:cs="Simplified Arabic"/>
          <w:sz w:val="28"/>
          <w:szCs w:val="28"/>
          <w:rtl/>
        </w:rPr>
        <w:t xml:space="preserve">للقواعد الدستورية، لأنه إذا كان ثابت </w:t>
      </w:r>
      <w:r w:rsidRPr="00DC065A">
        <w:rPr>
          <w:rFonts w:ascii="Simplified Arabic" w:hAnsi="Simplified Arabic" w:cs="Simplified Arabic"/>
          <w:sz w:val="28"/>
          <w:szCs w:val="28"/>
          <w:rtl/>
        </w:rPr>
        <w:t>انتماء القواعد الدستورية إلى فئة القواعد الآمرة المتعلقة بالنظام العام، وأن على جميع السلطات احترامها وتطبيقها، وإنما الخلاف هو حول توافر ع</w:t>
      </w:r>
      <w:r w:rsidR="001E6D3D" w:rsidRPr="00DC065A">
        <w:rPr>
          <w:rFonts w:ascii="Simplified Arabic" w:hAnsi="Simplified Arabic" w:cs="Simplified Arabic"/>
          <w:sz w:val="28"/>
          <w:szCs w:val="28"/>
          <w:rtl/>
        </w:rPr>
        <w:t>نصر الجزاء في القاعدة الدستورية، ومن يقرر فرض هذا الجزاء.</w:t>
      </w:r>
    </w:p>
    <w:p w:rsidR="004771AD" w:rsidRPr="00DC065A" w:rsidRDefault="001E6D3D" w:rsidP="00DC065A">
      <w:pPr>
        <w:bidi/>
        <w:jc w:val="both"/>
        <w:rPr>
          <w:rFonts w:ascii="Simplified Arabic" w:hAnsi="Simplified Arabic" w:cs="Simplified Arabic"/>
          <w:sz w:val="28"/>
          <w:szCs w:val="28"/>
          <w:rtl/>
        </w:rPr>
      </w:pPr>
      <w:r w:rsidRPr="00DC065A">
        <w:rPr>
          <w:rFonts w:ascii="Simplified Arabic" w:hAnsi="Simplified Arabic" w:cs="Simplified Arabic"/>
          <w:sz w:val="28"/>
          <w:szCs w:val="28"/>
          <w:rtl/>
        </w:rPr>
        <w:t xml:space="preserve">بالعودة إلى نصوص الدستور، نجد أن منها من </w:t>
      </w:r>
      <w:r w:rsidR="00E84A9F" w:rsidRPr="00DC065A">
        <w:rPr>
          <w:rFonts w:ascii="Simplified Arabic" w:hAnsi="Simplified Arabic" w:cs="Simplified Arabic"/>
          <w:sz w:val="28"/>
          <w:szCs w:val="28"/>
          <w:rtl/>
        </w:rPr>
        <w:t>رتبّ الجزاء على مخالفة النص كمثل المادة 31 من الدستور التي نصّت على أن :"</w:t>
      </w:r>
      <w:r w:rsidR="004771AD" w:rsidRPr="00DC065A">
        <w:rPr>
          <w:rFonts w:ascii="Simplified Arabic" w:hAnsi="Simplified Arabic" w:cs="Simplified Arabic"/>
          <w:sz w:val="28"/>
          <w:szCs w:val="28"/>
          <w:rtl/>
        </w:rPr>
        <w:t>كل اجتماع يعقده المجلس في غير المواعيد القانونية يعد باطلاً حكماً ومخالفاً للقانون</w:t>
      </w:r>
      <w:r w:rsidR="00E84A9F" w:rsidRPr="00DC065A">
        <w:rPr>
          <w:rFonts w:ascii="Simplified Arabic" w:hAnsi="Simplified Arabic" w:cs="Simplified Arabic"/>
          <w:sz w:val="28"/>
          <w:szCs w:val="28"/>
          <w:rtl/>
        </w:rPr>
        <w:t>"</w:t>
      </w:r>
      <w:r w:rsidR="004771AD" w:rsidRPr="00DC065A">
        <w:rPr>
          <w:rFonts w:ascii="Simplified Arabic" w:hAnsi="Simplified Arabic" w:cs="Simplified Arabic"/>
          <w:sz w:val="28"/>
          <w:szCs w:val="28"/>
          <w:rtl/>
        </w:rPr>
        <w:t>.</w:t>
      </w:r>
    </w:p>
    <w:p w:rsidR="00E84A9F" w:rsidRPr="00DC065A" w:rsidRDefault="00E84A9F" w:rsidP="00DC065A">
      <w:pPr>
        <w:autoSpaceDE w:val="0"/>
        <w:autoSpaceDN w:val="0"/>
        <w:bidi/>
        <w:adjustRightInd w:val="0"/>
        <w:spacing w:after="0" w:line="240" w:lineRule="auto"/>
        <w:jc w:val="both"/>
        <w:rPr>
          <w:rFonts w:ascii="Simplified Arabic" w:hAnsi="Simplified Arabic" w:cs="Simplified Arabic"/>
          <w:sz w:val="28"/>
          <w:szCs w:val="28"/>
          <w:rtl/>
        </w:rPr>
      </w:pPr>
      <w:r w:rsidRPr="00DC065A">
        <w:rPr>
          <w:rFonts w:ascii="Simplified Arabic" w:hAnsi="Simplified Arabic" w:cs="Simplified Arabic"/>
          <w:sz w:val="28"/>
          <w:szCs w:val="28"/>
          <w:rtl/>
        </w:rPr>
        <w:t xml:space="preserve">أو </w:t>
      </w:r>
      <w:r w:rsidR="00DC065A" w:rsidRPr="00DC065A">
        <w:rPr>
          <w:rFonts w:ascii="Simplified Arabic" w:hAnsi="Simplified Arabic" w:cs="Simplified Arabic"/>
          <w:sz w:val="28"/>
          <w:szCs w:val="28"/>
          <w:rtl/>
        </w:rPr>
        <w:t xml:space="preserve">قد </w:t>
      </w:r>
      <w:r w:rsidRPr="00DC065A">
        <w:rPr>
          <w:rFonts w:ascii="Simplified Arabic" w:hAnsi="Simplified Arabic" w:cs="Simplified Arabic"/>
          <w:sz w:val="28"/>
          <w:szCs w:val="28"/>
          <w:rtl/>
        </w:rPr>
        <w:t xml:space="preserve">ينشئ </w:t>
      </w:r>
      <w:r w:rsidR="00DC065A" w:rsidRPr="00DC065A">
        <w:rPr>
          <w:rFonts w:ascii="Simplified Arabic" w:hAnsi="Simplified Arabic" w:cs="Simplified Arabic"/>
          <w:sz w:val="28"/>
          <w:szCs w:val="28"/>
          <w:rtl/>
        </w:rPr>
        <w:t xml:space="preserve">الدستور </w:t>
      </w:r>
      <w:r w:rsidRPr="00DC065A">
        <w:rPr>
          <w:rFonts w:ascii="Simplified Arabic" w:hAnsi="Simplified Arabic" w:cs="Simplified Arabic"/>
          <w:sz w:val="28"/>
          <w:szCs w:val="28"/>
          <w:rtl/>
        </w:rPr>
        <w:t xml:space="preserve">جهة قضائية تتولى النظر في دستورية الأعمال كالمجلس الدستوري الذي ينظر في دستورية القوانين، وقد أبطل هذا المجلس بموجب قراراه رقم 5 تاريخ 22/9/2017 للقانون رقم 45/2017 لكون التصويت على القانون لم يراعِ الأصول المقررة في المادة 36 بالرغم من أن هذه المادة لم تتحدث عن البطلان، أو </w:t>
      </w:r>
      <w:r w:rsidR="00DC065A" w:rsidRPr="00DC065A">
        <w:rPr>
          <w:rFonts w:ascii="Simplified Arabic" w:hAnsi="Simplified Arabic" w:cs="Simplified Arabic"/>
          <w:sz w:val="28"/>
          <w:szCs w:val="28"/>
          <w:rtl/>
        </w:rPr>
        <w:t>ك</w:t>
      </w:r>
      <w:r w:rsidRPr="00DC065A">
        <w:rPr>
          <w:rFonts w:ascii="Simplified Arabic" w:hAnsi="Simplified Arabic" w:cs="Simplified Arabic"/>
          <w:sz w:val="28"/>
          <w:szCs w:val="28"/>
          <w:rtl/>
        </w:rPr>
        <w:t>المجلس الأعلى لمحاكمة الرؤساء والوزراء الذي ينظر في خرق</w:t>
      </w:r>
      <w:r w:rsidR="00DC065A" w:rsidRPr="00DC065A">
        <w:rPr>
          <w:rFonts w:ascii="Simplified Arabic" w:hAnsi="Simplified Arabic" w:cs="Simplified Arabic"/>
          <w:sz w:val="28"/>
          <w:szCs w:val="28"/>
          <w:rtl/>
        </w:rPr>
        <w:t xml:space="preserve"> الدستور الذي قد يرتكبه الرؤساء أو الوزراء</w:t>
      </w:r>
      <w:r w:rsidRPr="00DC065A">
        <w:rPr>
          <w:rFonts w:ascii="Simplified Arabic" w:hAnsi="Simplified Arabic" w:cs="Simplified Arabic"/>
          <w:sz w:val="28"/>
          <w:szCs w:val="28"/>
          <w:rtl/>
        </w:rPr>
        <w:t>.</w:t>
      </w:r>
    </w:p>
    <w:p w:rsidR="004771AD" w:rsidRPr="00DC065A" w:rsidRDefault="00E84A9F" w:rsidP="00DC065A">
      <w:pPr>
        <w:autoSpaceDE w:val="0"/>
        <w:autoSpaceDN w:val="0"/>
        <w:bidi/>
        <w:adjustRightInd w:val="0"/>
        <w:spacing w:after="0" w:line="240" w:lineRule="auto"/>
        <w:jc w:val="both"/>
        <w:rPr>
          <w:rFonts w:ascii="Simplified Arabic" w:hAnsi="Simplified Arabic" w:cs="Simplified Arabic"/>
          <w:sz w:val="28"/>
          <w:szCs w:val="28"/>
          <w:rtl/>
        </w:rPr>
      </w:pPr>
      <w:r w:rsidRPr="00DC065A">
        <w:rPr>
          <w:rFonts w:ascii="Simplified Arabic" w:hAnsi="Simplified Arabic" w:cs="Simplified Arabic"/>
          <w:sz w:val="28"/>
          <w:szCs w:val="28"/>
          <w:rtl/>
        </w:rPr>
        <w:t xml:space="preserve">   </w:t>
      </w:r>
    </w:p>
    <w:p w:rsidR="00205CEF" w:rsidRPr="00DC065A" w:rsidRDefault="00E84A9F" w:rsidP="00DC065A">
      <w:pPr>
        <w:autoSpaceDE w:val="0"/>
        <w:autoSpaceDN w:val="0"/>
        <w:bidi/>
        <w:adjustRightInd w:val="0"/>
        <w:spacing w:after="0" w:line="240" w:lineRule="auto"/>
        <w:jc w:val="both"/>
        <w:rPr>
          <w:rFonts w:ascii="Simplified Arabic" w:hAnsi="Simplified Arabic" w:cs="Simplified Arabic"/>
          <w:sz w:val="28"/>
          <w:szCs w:val="28"/>
          <w:rtl/>
        </w:rPr>
      </w:pPr>
      <w:r w:rsidRPr="00DC065A">
        <w:rPr>
          <w:rFonts w:ascii="Simplified Arabic" w:hAnsi="Simplified Arabic" w:cs="Simplified Arabic"/>
          <w:sz w:val="28"/>
          <w:szCs w:val="28"/>
          <w:rtl/>
        </w:rPr>
        <w:t>ولكن إذا لم يرّتب النص الدستوري البطلان على مخالفة الموجب،</w:t>
      </w:r>
      <w:r w:rsidR="00205CEF" w:rsidRPr="00DC065A">
        <w:rPr>
          <w:rFonts w:ascii="Simplified Arabic" w:hAnsi="Simplified Arabic" w:cs="Simplified Arabic"/>
          <w:sz w:val="28"/>
          <w:szCs w:val="28"/>
          <w:rtl/>
        </w:rPr>
        <w:t xml:space="preserve"> فهل يمكن تقرير هذا البطلان ومن هو المرجع الصالح للحكم </w:t>
      </w:r>
      <w:r w:rsidR="00DC065A" w:rsidRPr="00DC065A">
        <w:rPr>
          <w:rFonts w:ascii="Simplified Arabic" w:hAnsi="Simplified Arabic" w:cs="Simplified Arabic"/>
          <w:sz w:val="28"/>
          <w:szCs w:val="28"/>
          <w:rtl/>
        </w:rPr>
        <w:t>به؟</w:t>
      </w:r>
      <w:r w:rsidR="00205CEF" w:rsidRPr="00DC065A">
        <w:rPr>
          <w:rFonts w:ascii="Simplified Arabic" w:hAnsi="Simplified Arabic" w:cs="Simplified Arabic"/>
          <w:sz w:val="28"/>
          <w:szCs w:val="28"/>
          <w:rtl/>
        </w:rPr>
        <w:t>.</w:t>
      </w:r>
    </w:p>
    <w:p w:rsidR="00205CEF" w:rsidRPr="00DC065A" w:rsidRDefault="00205CEF" w:rsidP="00DC065A">
      <w:pPr>
        <w:autoSpaceDE w:val="0"/>
        <w:autoSpaceDN w:val="0"/>
        <w:bidi/>
        <w:adjustRightInd w:val="0"/>
        <w:spacing w:after="0" w:line="240" w:lineRule="auto"/>
        <w:jc w:val="both"/>
        <w:rPr>
          <w:rFonts w:ascii="Simplified Arabic" w:hAnsi="Simplified Arabic" w:cs="Simplified Arabic"/>
          <w:sz w:val="28"/>
          <w:szCs w:val="28"/>
          <w:rtl/>
        </w:rPr>
      </w:pPr>
    </w:p>
    <w:p w:rsidR="00205CEF" w:rsidRPr="00DC065A" w:rsidRDefault="00205CEF" w:rsidP="00DC065A">
      <w:pPr>
        <w:autoSpaceDE w:val="0"/>
        <w:autoSpaceDN w:val="0"/>
        <w:bidi/>
        <w:adjustRightInd w:val="0"/>
        <w:spacing w:after="0" w:line="240" w:lineRule="auto"/>
        <w:jc w:val="both"/>
        <w:rPr>
          <w:rFonts w:ascii="Simplified Arabic" w:hAnsi="Simplified Arabic" w:cs="Simplified Arabic"/>
          <w:sz w:val="28"/>
          <w:szCs w:val="28"/>
          <w:rtl/>
        </w:rPr>
      </w:pPr>
      <w:r w:rsidRPr="00DC065A">
        <w:rPr>
          <w:rFonts w:ascii="Simplified Arabic" w:hAnsi="Simplified Arabic" w:cs="Simplified Arabic"/>
          <w:sz w:val="28"/>
          <w:szCs w:val="28"/>
          <w:rtl/>
        </w:rPr>
        <w:t xml:space="preserve">إن معظم النصوص الدستورية لا تتضمن جزاء على مخالفتها، وحيث أن القاعدة الأساسية هي أنه لا بطلان بدون نص، فإنه يصبح من الصعب أن نحكم ببطلان العمل لمجرد وقوع المخالفة، إذ القاعدة </w:t>
      </w:r>
      <w:r w:rsidRPr="00DC065A">
        <w:rPr>
          <w:rFonts w:ascii="Simplified Arabic" w:hAnsi="Simplified Arabic" w:cs="Simplified Arabic"/>
          <w:sz w:val="28"/>
          <w:szCs w:val="28"/>
          <w:rtl/>
        </w:rPr>
        <w:lastRenderedPageBreak/>
        <w:t>في العمل الدستوري هو حفظ التصرف لا هدمه، ولهذا يوجد ما يسمّى تصحيح المراسم الشكلية،  إذا كان بالإمكان إجراء هذا التصحيح.</w:t>
      </w:r>
    </w:p>
    <w:p w:rsidR="004771AD" w:rsidRPr="00DC065A" w:rsidRDefault="00205CEF" w:rsidP="00DC065A">
      <w:pPr>
        <w:autoSpaceDE w:val="0"/>
        <w:autoSpaceDN w:val="0"/>
        <w:bidi/>
        <w:adjustRightInd w:val="0"/>
        <w:spacing w:after="0" w:line="240" w:lineRule="auto"/>
        <w:jc w:val="both"/>
        <w:rPr>
          <w:rFonts w:ascii="Simplified Arabic" w:hAnsi="Simplified Arabic" w:cs="Simplified Arabic"/>
          <w:sz w:val="28"/>
          <w:szCs w:val="28"/>
          <w:rtl/>
        </w:rPr>
      </w:pPr>
      <w:r w:rsidRPr="00DC065A">
        <w:rPr>
          <w:rFonts w:ascii="Simplified Arabic" w:hAnsi="Simplified Arabic" w:cs="Simplified Arabic"/>
          <w:sz w:val="28"/>
          <w:szCs w:val="28"/>
          <w:rtl/>
        </w:rPr>
        <w:t xml:space="preserve">وبالعودة إلى المادة 34 من الدستور نجد أنها نصّت على أن :" </w:t>
      </w:r>
      <w:r w:rsidR="004771AD" w:rsidRPr="00DC065A">
        <w:rPr>
          <w:rFonts w:ascii="Simplified Arabic" w:hAnsi="Simplified Arabic" w:cs="Simplified Arabic"/>
          <w:sz w:val="28"/>
          <w:szCs w:val="28"/>
          <w:rtl/>
        </w:rPr>
        <w:t>لا يكون اجتماع المجلس قانونياً ما لم تحضره الأكثرية من الأعضاء الذين يؤلفونه وتتخذ القرارات بغالبية الأصوات. وإذا تعادلت الأصوات سقط المشروع المطروح للمناقشة.</w:t>
      </w:r>
    </w:p>
    <w:p w:rsidR="00205CEF" w:rsidRPr="00DC065A" w:rsidRDefault="00205CEF" w:rsidP="00DC065A">
      <w:pPr>
        <w:autoSpaceDE w:val="0"/>
        <w:autoSpaceDN w:val="0"/>
        <w:bidi/>
        <w:adjustRightInd w:val="0"/>
        <w:spacing w:after="0" w:line="240" w:lineRule="auto"/>
        <w:jc w:val="both"/>
        <w:rPr>
          <w:rFonts w:ascii="Simplified Arabic" w:hAnsi="Simplified Arabic" w:cs="Simplified Arabic"/>
          <w:sz w:val="28"/>
          <w:szCs w:val="28"/>
          <w:rtl/>
        </w:rPr>
      </w:pPr>
      <w:r w:rsidRPr="00DC065A">
        <w:rPr>
          <w:rFonts w:ascii="Simplified Arabic" w:hAnsi="Simplified Arabic" w:cs="Simplified Arabic"/>
          <w:sz w:val="28"/>
          <w:szCs w:val="28"/>
          <w:rtl/>
        </w:rPr>
        <w:t xml:space="preserve">واضح أن هذا النص لم يرّتب البطلان على انعقاد المجلس دون حضور الأغلبية من أعضائه، إنما تحدّث عن عدم القانونية. </w:t>
      </w:r>
    </w:p>
    <w:p w:rsidR="00205CEF" w:rsidRPr="00DC065A" w:rsidRDefault="00C824D7" w:rsidP="00DC065A">
      <w:pPr>
        <w:autoSpaceDE w:val="0"/>
        <w:autoSpaceDN w:val="0"/>
        <w:bidi/>
        <w:adjustRightInd w:val="0"/>
        <w:spacing w:after="0" w:line="240" w:lineRule="auto"/>
        <w:jc w:val="both"/>
        <w:rPr>
          <w:rFonts w:ascii="Simplified Arabic" w:hAnsi="Simplified Arabic" w:cs="Simplified Arabic"/>
          <w:sz w:val="28"/>
          <w:szCs w:val="28"/>
          <w:rtl/>
        </w:rPr>
      </w:pPr>
      <w:r w:rsidRPr="00DC065A">
        <w:rPr>
          <w:rFonts w:ascii="Simplified Arabic" w:hAnsi="Simplified Arabic" w:cs="Simplified Arabic"/>
          <w:sz w:val="28"/>
          <w:szCs w:val="28"/>
          <w:rtl/>
        </w:rPr>
        <w:t xml:space="preserve">وعدم </w:t>
      </w:r>
      <w:r w:rsidR="00DC065A" w:rsidRPr="00DC065A">
        <w:rPr>
          <w:rFonts w:ascii="Simplified Arabic" w:hAnsi="Simplified Arabic" w:cs="Simplified Arabic"/>
          <w:sz w:val="28"/>
          <w:szCs w:val="28"/>
          <w:rtl/>
        </w:rPr>
        <w:t>القانونية المذكورة هي صفة تلحق تتابعاً ب</w:t>
      </w:r>
      <w:r w:rsidRPr="00DC065A">
        <w:rPr>
          <w:rFonts w:ascii="Simplified Arabic" w:hAnsi="Simplified Arabic" w:cs="Simplified Arabic"/>
          <w:sz w:val="28"/>
          <w:szCs w:val="28"/>
          <w:rtl/>
        </w:rPr>
        <w:t>الاجتماع، بحيث إذا ت</w:t>
      </w:r>
      <w:r w:rsidR="00DC065A" w:rsidRPr="00DC065A">
        <w:rPr>
          <w:rFonts w:ascii="Simplified Arabic" w:hAnsi="Simplified Arabic" w:cs="Simplified Arabic"/>
          <w:sz w:val="28"/>
          <w:szCs w:val="28"/>
          <w:rtl/>
        </w:rPr>
        <w:t xml:space="preserve">حصل </w:t>
      </w:r>
      <w:r w:rsidRPr="00DC065A">
        <w:rPr>
          <w:rFonts w:ascii="Simplified Arabic" w:hAnsi="Simplified Arabic" w:cs="Simplified Arabic"/>
          <w:sz w:val="28"/>
          <w:szCs w:val="28"/>
          <w:rtl/>
        </w:rPr>
        <w:t xml:space="preserve">خلال الجلسة أن تأمن النصاب تتحول هذه الجلسة إلى جلسة قانونية اعتباراً من لحظة توفر النصاب، بحيث تستعيد الجلسة قانونيتها. </w:t>
      </w:r>
    </w:p>
    <w:p w:rsidR="00C824D7" w:rsidRPr="00DC065A" w:rsidRDefault="00C824D7" w:rsidP="00DC065A">
      <w:pPr>
        <w:tabs>
          <w:tab w:val="left" w:pos="425"/>
        </w:tabs>
        <w:autoSpaceDE w:val="0"/>
        <w:autoSpaceDN w:val="0"/>
        <w:bidi/>
        <w:adjustRightInd w:val="0"/>
        <w:spacing w:after="0" w:line="240" w:lineRule="auto"/>
        <w:jc w:val="both"/>
        <w:rPr>
          <w:rFonts w:ascii="Simplified Arabic" w:hAnsi="Simplified Arabic" w:cs="Simplified Arabic"/>
          <w:sz w:val="28"/>
          <w:szCs w:val="28"/>
          <w:rtl/>
        </w:rPr>
      </w:pPr>
      <w:r w:rsidRPr="00DC065A">
        <w:rPr>
          <w:rFonts w:ascii="Simplified Arabic" w:hAnsi="Simplified Arabic" w:cs="Simplified Arabic"/>
          <w:sz w:val="28"/>
          <w:szCs w:val="28"/>
          <w:rtl/>
        </w:rPr>
        <w:t xml:space="preserve">وهذا المعنى نستقيه أيضاً من المادة 55 من النظام الداخلي للمجلس النيابي التي أجازت استمرار المناقشة بالرغم من عدم توفّر النصاب، </w:t>
      </w:r>
      <w:r w:rsidR="00DC065A" w:rsidRPr="00DC065A">
        <w:rPr>
          <w:rFonts w:ascii="Simplified Arabic" w:hAnsi="Simplified Arabic" w:cs="Simplified Arabic"/>
          <w:sz w:val="28"/>
          <w:szCs w:val="28"/>
          <w:rtl/>
        </w:rPr>
        <w:t>لتعود وتقرر</w:t>
      </w:r>
      <w:r w:rsidRPr="00DC065A">
        <w:rPr>
          <w:rFonts w:ascii="Simplified Arabic" w:hAnsi="Simplified Arabic" w:cs="Simplified Arabic"/>
          <w:sz w:val="28"/>
          <w:szCs w:val="28"/>
          <w:rtl/>
        </w:rPr>
        <w:t xml:space="preserve"> أنه لا يجوز المباشرة بالتوصيت الا عند توافر النصاب داخل قاعة الاجتماع.</w:t>
      </w:r>
    </w:p>
    <w:p w:rsidR="004771AD" w:rsidRPr="00DC065A" w:rsidRDefault="00C824D7" w:rsidP="00DC065A">
      <w:pPr>
        <w:autoSpaceDE w:val="0"/>
        <w:autoSpaceDN w:val="0"/>
        <w:bidi/>
        <w:adjustRightInd w:val="0"/>
        <w:spacing w:after="0" w:line="240" w:lineRule="auto"/>
        <w:jc w:val="both"/>
        <w:rPr>
          <w:rFonts w:ascii="Simplified Arabic" w:hAnsi="Simplified Arabic" w:cs="Simplified Arabic"/>
          <w:sz w:val="28"/>
          <w:szCs w:val="28"/>
          <w:rtl/>
        </w:rPr>
      </w:pPr>
      <w:r w:rsidRPr="00DC065A">
        <w:rPr>
          <w:rFonts w:ascii="Simplified Arabic" w:hAnsi="Simplified Arabic" w:cs="Simplified Arabic"/>
          <w:sz w:val="28"/>
          <w:szCs w:val="28"/>
          <w:rtl/>
        </w:rPr>
        <w:t xml:space="preserve">ولهذا على فرض أن جلسة مجلس النواب تاريخ 11 شباط 2020 قد افتتحت دون اكتمال النصاب داخل القاعة، فإنها تعود </w:t>
      </w:r>
      <w:r w:rsidR="00DC065A" w:rsidRPr="00DC065A">
        <w:rPr>
          <w:rFonts w:ascii="Simplified Arabic" w:hAnsi="Simplified Arabic" w:cs="Simplified Arabic"/>
          <w:sz w:val="28"/>
          <w:szCs w:val="28"/>
          <w:rtl/>
        </w:rPr>
        <w:t>ل</w:t>
      </w:r>
      <w:r w:rsidRPr="00DC065A">
        <w:rPr>
          <w:rFonts w:ascii="Simplified Arabic" w:hAnsi="Simplified Arabic" w:cs="Simplified Arabic"/>
          <w:sz w:val="28"/>
          <w:szCs w:val="28"/>
          <w:rtl/>
        </w:rPr>
        <w:t>تكتسب قانونيتها لحظة توافر النصاب بخاصةٍ عند المباشرة بالتصويت.</w:t>
      </w:r>
    </w:p>
    <w:p w:rsidR="00C824D7" w:rsidRPr="00DC065A" w:rsidRDefault="00C824D7" w:rsidP="00DC065A">
      <w:pPr>
        <w:tabs>
          <w:tab w:val="left" w:pos="425"/>
        </w:tabs>
        <w:autoSpaceDE w:val="0"/>
        <w:autoSpaceDN w:val="0"/>
        <w:bidi/>
        <w:adjustRightInd w:val="0"/>
        <w:spacing w:after="0" w:line="240" w:lineRule="auto"/>
        <w:jc w:val="both"/>
        <w:rPr>
          <w:rFonts w:ascii="Simplified Arabic" w:hAnsi="Simplified Arabic" w:cs="Simplified Arabic"/>
          <w:sz w:val="28"/>
          <w:szCs w:val="28"/>
          <w:rtl/>
        </w:rPr>
      </w:pPr>
      <w:r w:rsidRPr="00DC065A">
        <w:rPr>
          <w:rFonts w:ascii="Simplified Arabic" w:hAnsi="Simplified Arabic" w:cs="Simplified Arabic"/>
          <w:sz w:val="28"/>
          <w:szCs w:val="28"/>
          <w:rtl/>
        </w:rPr>
        <w:t xml:space="preserve">علماً أن هذا العمل يعتبر من الأعمال البرلمانية </w:t>
      </w:r>
      <w:r w:rsidR="00DC065A" w:rsidRPr="00DC065A">
        <w:rPr>
          <w:rFonts w:ascii="Simplified Arabic" w:hAnsi="Simplified Arabic" w:cs="Simplified Arabic"/>
          <w:sz w:val="28"/>
          <w:szCs w:val="28"/>
          <w:rtl/>
        </w:rPr>
        <w:t xml:space="preserve">التي </w:t>
      </w:r>
      <w:r w:rsidRPr="00DC065A">
        <w:rPr>
          <w:rFonts w:ascii="Simplified Arabic" w:hAnsi="Simplified Arabic" w:cs="Simplified Arabic"/>
          <w:sz w:val="28"/>
          <w:szCs w:val="28"/>
          <w:rtl/>
        </w:rPr>
        <w:t>لا تخضع ل</w:t>
      </w:r>
      <w:r w:rsidR="00DC065A" w:rsidRPr="00DC065A">
        <w:rPr>
          <w:rFonts w:ascii="Simplified Arabic" w:hAnsi="Simplified Arabic" w:cs="Simplified Arabic"/>
          <w:sz w:val="28"/>
          <w:szCs w:val="28"/>
          <w:rtl/>
        </w:rPr>
        <w:t>أي</w:t>
      </w:r>
      <w:r w:rsidRPr="00DC065A">
        <w:rPr>
          <w:rFonts w:ascii="Simplified Arabic" w:hAnsi="Simplified Arabic" w:cs="Simplified Arabic"/>
          <w:sz w:val="28"/>
          <w:szCs w:val="28"/>
          <w:rtl/>
        </w:rPr>
        <w:t xml:space="preserve"> رقابة قضائية، وإذا ما كان لأحد من النواب اعتراض على قانونية افتتاح الجلسة أو استمرار عملها فإن المرجع للبت في هذا الاعتراض هو مكتب المجلس سنداً للمادة 8 من النظام الداخلي ل</w:t>
      </w:r>
      <w:r w:rsidR="00DC065A" w:rsidRPr="00DC065A">
        <w:rPr>
          <w:rFonts w:ascii="Simplified Arabic" w:hAnsi="Simplified Arabic" w:cs="Simplified Arabic"/>
          <w:sz w:val="28"/>
          <w:szCs w:val="28"/>
          <w:rtl/>
        </w:rPr>
        <w:t>لمجلس النيابي التي تنصّ على أن ت</w:t>
      </w:r>
      <w:r w:rsidRPr="00DC065A">
        <w:rPr>
          <w:rFonts w:ascii="Simplified Arabic" w:hAnsi="Simplified Arabic" w:cs="Simplified Arabic"/>
          <w:sz w:val="28"/>
          <w:szCs w:val="28"/>
          <w:rtl/>
        </w:rPr>
        <w:t>تولى هيئة مكتب المجلس، درس الاعتراضات التي تقدم في شأن محاضر الجلسات وخلاصاتها، وادارة الجلسات والتصويت واعلان نتيجة الاقتراع والفصل بها.</w:t>
      </w:r>
    </w:p>
    <w:p w:rsidR="00C824D7" w:rsidRDefault="00C824D7" w:rsidP="00C824D7">
      <w:pPr>
        <w:autoSpaceDE w:val="0"/>
        <w:autoSpaceDN w:val="0"/>
        <w:bidi/>
        <w:adjustRightInd w:val="0"/>
        <w:spacing w:after="0" w:line="240" w:lineRule="auto"/>
        <w:rPr>
          <w:rFonts w:ascii="Arabic Transparent" w:hAnsi="Arabic Transparent" w:cs="Arabic Transparent"/>
          <w:color w:val="800000"/>
          <w:sz w:val="28"/>
          <w:szCs w:val="28"/>
          <w:rtl/>
        </w:rPr>
      </w:pPr>
    </w:p>
    <w:p w:rsidR="004771AD" w:rsidRPr="00C030A9" w:rsidRDefault="00205CEF" w:rsidP="00C541FC">
      <w:pPr>
        <w:bidi/>
        <w:spacing w:after="0" w:line="240" w:lineRule="auto"/>
        <w:jc w:val="both"/>
        <w:rPr>
          <w:rFonts w:ascii="Simplified Arabic" w:hAnsi="Simplified Arabic" w:cs="Simplified Arabic"/>
          <w:sz w:val="28"/>
          <w:szCs w:val="28"/>
          <w:rtl/>
        </w:rPr>
      </w:pPr>
      <w:r>
        <w:rPr>
          <w:rFonts w:ascii="Arabic Transparent" w:hAnsi="Arabic Transparent" w:cs="Arabic Transparent" w:hint="cs"/>
          <w:color w:val="800000"/>
          <w:sz w:val="28"/>
          <w:szCs w:val="28"/>
          <w:rtl/>
        </w:rPr>
        <w:t xml:space="preserve"> </w:t>
      </w:r>
    </w:p>
    <w:p w:rsidR="002E1529" w:rsidRDefault="00205CEF" w:rsidP="00E84A9F">
      <w:pPr>
        <w:bidi/>
      </w:pPr>
      <w:r>
        <w:rPr>
          <w:rFonts w:ascii="Simplified Arabic" w:hAnsi="Simplified Arabic" w:cs="Simplified Arabic" w:hint="cs"/>
          <w:sz w:val="28"/>
          <w:szCs w:val="28"/>
          <w:rtl/>
        </w:rPr>
        <w:t xml:space="preserve"> </w:t>
      </w:r>
      <w:hyperlink r:id="rId6" w:history="1">
        <w:r w:rsidR="00D1694C">
          <w:rPr>
            <w:rStyle w:val="Hyperlink"/>
          </w:rPr>
          <w:t>http://droit.ul.edu.lb/index.php/i-i-00258-2019</w:t>
        </w:r>
      </w:hyperlink>
      <w:bookmarkEnd w:id="0"/>
    </w:p>
    <w:sectPr w:rsidR="002E1529" w:rsidSect="004771AD">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518" w:rsidRDefault="00822518" w:rsidP="00C541FC">
      <w:pPr>
        <w:spacing w:after="0" w:line="240" w:lineRule="auto"/>
      </w:pPr>
      <w:r>
        <w:separator/>
      </w:r>
    </w:p>
  </w:endnote>
  <w:endnote w:type="continuationSeparator" w:id="0">
    <w:p w:rsidR="00822518" w:rsidRDefault="00822518" w:rsidP="00C5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518" w:rsidRDefault="00822518" w:rsidP="00C541FC">
      <w:pPr>
        <w:spacing w:after="0" w:line="240" w:lineRule="auto"/>
      </w:pPr>
      <w:r>
        <w:separator/>
      </w:r>
    </w:p>
  </w:footnote>
  <w:footnote w:type="continuationSeparator" w:id="0">
    <w:p w:rsidR="00822518" w:rsidRDefault="00822518" w:rsidP="00C541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AD"/>
    <w:rsid w:val="001E6D3D"/>
    <w:rsid w:val="00205CEF"/>
    <w:rsid w:val="002E1529"/>
    <w:rsid w:val="004771AD"/>
    <w:rsid w:val="004B5A55"/>
    <w:rsid w:val="00822518"/>
    <w:rsid w:val="00C541FC"/>
    <w:rsid w:val="00C824D7"/>
    <w:rsid w:val="00D1694C"/>
    <w:rsid w:val="00DC065A"/>
    <w:rsid w:val="00E84A9F"/>
    <w:rsid w:val="00F043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AA0C7-9B8A-42EB-A63B-2CA39C39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 Char Char Char Char Char,Footnote Text Char Char Char Char Char,Note de bas de page Car Car Car,Note de bas de page Car Car,Notes de bas de page ok, Char Char Char,Char"/>
    <w:basedOn w:val="Normal"/>
    <w:link w:val="FootnoteTextChar"/>
    <w:rsid w:val="00C541FC"/>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Footnote Text Char Char Char Char Char Char Char Char,Footnote Text Char Char Char Char Char Char,Note de bas de page Car Car Car Char,Note de bas de page Car Car Char,Notes de bas de page ok Char"/>
    <w:basedOn w:val="DefaultParagraphFont"/>
    <w:link w:val="FootnoteText"/>
    <w:rsid w:val="00C541FC"/>
    <w:rPr>
      <w:rFonts w:ascii="Times New Roman" w:eastAsia="Times New Roman" w:hAnsi="Times New Roman" w:cs="Times New Roman"/>
      <w:sz w:val="20"/>
      <w:szCs w:val="20"/>
    </w:rPr>
  </w:style>
  <w:style w:type="character" w:styleId="FootnoteReference">
    <w:name w:val="footnote reference"/>
    <w:aliases w:val="4_GA,4_G,Note de bas de p."/>
    <w:rsid w:val="00C541FC"/>
    <w:rPr>
      <w:vertAlign w:val="superscript"/>
    </w:rPr>
  </w:style>
  <w:style w:type="character" w:styleId="Hyperlink">
    <w:name w:val="Hyperlink"/>
    <w:basedOn w:val="DefaultParagraphFont"/>
    <w:uiPriority w:val="99"/>
    <w:semiHidden/>
    <w:unhideWhenUsed/>
    <w:rsid w:val="00D16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roit.ul.edu.lb/index.php/i-i-00258-201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2020-02-14T20:47:00Z</dcterms:created>
  <dcterms:modified xsi:type="dcterms:W3CDTF">2020-02-14T22:33:00Z</dcterms:modified>
</cp:coreProperties>
</file>