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03E7D" w14:textId="356C288F" w:rsidR="009B05D3" w:rsidRPr="0051018E" w:rsidRDefault="009B53A3" w:rsidP="0051018E">
      <w:pPr>
        <w:autoSpaceDE w:val="0"/>
        <w:autoSpaceDN w:val="0"/>
        <w:bidi/>
        <w:adjustRightInd w:val="0"/>
        <w:spacing w:after="0" w:line="240" w:lineRule="auto"/>
        <w:jc w:val="center"/>
        <w:rPr>
          <w:rFonts w:ascii="Simplified Arabic" w:hAnsi="Simplified Arabic" w:cs="Simplified Arabic"/>
          <w:b/>
          <w:bCs/>
          <w:sz w:val="28"/>
          <w:szCs w:val="28"/>
          <w:rtl/>
        </w:rPr>
      </w:pPr>
      <w:r w:rsidRPr="0051018E">
        <w:rPr>
          <w:rFonts w:ascii="Simplified Arabic" w:hAnsi="Simplified Arabic" w:cs="Simplified Arabic"/>
          <w:b/>
          <w:bCs/>
          <w:sz w:val="28"/>
          <w:szCs w:val="28"/>
          <w:rtl/>
          <w:lang w:bidi="ar-LB"/>
        </w:rPr>
        <w:t xml:space="preserve">دور وزير الدفاع في اقتراح </w:t>
      </w:r>
      <w:r w:rsidR="009B05D3" w:rsidRPr="0051018E">
        <w:rPr>
          <w:rFonts w:ascii="Simplified Arabic" w:hAnsi="Simplified Arabic" w:cs="Simplified Arabic"/>
          <w:b/>
          <w:bCs/>
          <w:sz w:val="28"/>
          <w:szCs w:val="28"/>
          <w:rtl/>
        </w:rPr>
        <w:t>تعيين القضاة العدلي</w:t>
      </w:r>
      <w:r w:rsidRPr="0051018E">
        <w:rPr>
          <w:rFonts w:ascii="Simplified Arabic" w:hAnsi="Simplified Arabic" w:cs="Simplified Arabic"/>
          <w:b/>
          <w:bCs/>
          <w:sz w:val="28"/>
          <w:szCs w:val="28"/>
          <w:rtl/>
        </w:rPr>
        <w:t>ين</w:t>
      </w:r>
      <w:r w:rsidR="009B05D3" w:rsidRPr="0051018E">
        <w:rPr>
          <w:rFonts w:ascii="Simplified Arabic" w:hAnsi="Simplified Arabic" w:cs="Simplified Arabic"/>
          <w:b/>
          <w:bCs/>
          <w:sz w:val="28"/>
          <w:szCs w:val="28"/>
          <w:rtl/>
        </w:rPr>
        <w:t xml:space="preserve"> لدى المحاكم العسكرية</w:t>
      </w:r>
    </w:p>
    <w:p w14:paraId="115CD569" w14:textId="77777777" w:rsidR="009B53A3" w:rsidRPr="0051018E" w:rsidRDefault="009B53A3" w:rsidP="0051018E">
      <w:pPr>
        <w:autoSpaceDE w:val="0"/>
        <w:autoSpaceDN w:val="0"/>
        <w:bidi/>
        <w:adjustRightInd w:val="0"/>
        <w:spacing w:after="0" w:line="240" w:lineRule="auto"/>
        <w:jc w:val="both"/>
        <w:rPr>
          <w:rFonts w:ascii="Simplified Arabic" w:hAnsi="Simplified Arabic" w:cs="Simplified Arabic"/>
          <w:b/>
          <w:bCs/>
          <w:sz w:val="28"/>
          <w:szCs w:val="28"/>
          <w:u w:val="single"/>
        </w:rPr>
      </w:pPr>
    </w:p>
    <w:p w14:paraId="3B23DC81" w14:textId="1ADDA885" w:rsidR="009B05D3" w:rsidRDefault="0051018E" w:rsidP="0051018E">
      <w:pPr>
        <w:autoSpaceDE w:val="0"/>
        <w:autoSpaceDN w:val="0"/>
        <w:bidi/>
        <w:adjustRightInd w:val="0"/>
        <w:spacing w:after="0" w:line="24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عصام نعمة إسماعيل</w:t>
      </w:r>
    </w:p>
    <w:p w14:paraId="4496C67D" w14:textId="6BFFE88A" w:rsidR="0051018E" w:rsidRDefault="0051018E" w:rsidP="0051018E">
      <w:pPr>
        <w:autoSpaceDE w:val="0"/>
        <w:autoSpaceDN w:val="0"/>
        <w:bidi/>
        <w:adjustRightInd w:val="0"/>
        <w:spacing w:after="0" w:line="240" w:lineRule="auto"/>
        <w:jc w:val="right"/>
        <w:rPr>
          <w:rFonts w:ascii="Simplified Arabic" w:hAnsi="Simplified Arabic" w:cs="Simplified Arabic"/>
          <w:sz w:val="28"/>
          <w:szCs w:val="28"/>
          <w:rtl/>
        </w:rPr>
      </w:pPr>
      <w:r>
        <w:rPr>
          <w:rFonts w:ascii="Simplified Arabic" w:hAnsi="Simplified Arabic" w:cs="Simplified Arabic" w:hint="cs"/>
          <w:sz w:val="28"/>
          <w:szCs w:val="28"/>
          <w:rtl/>
        </w:rPr>
        <w:t>إستاذ</w:t>
      </w:r>
      <w:r w:rsidR="00E0570C">
        <w:rPr>
          <w:rFonts w:ascii="Simplified Arabic" w:hAnsi="Simplified Arabic" w:cs="Simplified Arabic"/>
          <w:sz w:val="28"/>
          <w:szCs w:val="28"/>
        </w:rPr>
        <w:t xml:space="preserve"> </w:t>
      </w:r>
      <w:r>
        <w:rPr>
          <w:rFonts w:ascii="Simplified Arabic" w:hAnsi="Simplified Arabic" w:cs="Simplified Arabic" w:hint="cs"/>
          <w:sz w:val="28"/>
          <w:szCs w:val="28"/>
          <w:rtl/>
        </w:rPr>
        <w:t>القانون الدستوري والإداري في الجامعة اللبنانية</w:t>
      </w:r>
    </w:p>
    <w:p w14:paraId="0D683E89" w14:textId="77777777" w:rsidR="0051018E" w:rsidRPr="0051018E" w:rsidRDefault="0051018E" w:rsidP="0051018E">
      <w:pPr>
        <w:autoSpaceDE w:val="0"/>
        <w:autoSpaceDN w:val="0"/>
        <w:bidi/>
        <w:adjustRightInd w:val="0"/>
        <w:spacing w:after="0" w:line="240" w:lineRule="auto"/>
        <w:jc w:val="right"/>
        <w:rPr>
          <w:rFonts w:ascii="Simplified Arabic" w:hAnsi="Simplified Arabic" w:cs="Simplified Arabic"/>
          <w:sz w:val="28"/>
          <w:szCs w:val="28"/>
          <w:rtl/>
        </w:rPr>
      </w:pPr>
    </w:p>
    <w:p w14:paraId="72F1F20A" w14:textId="5197F333" w:rsidR="009B05D3" w:rsidRPr="0051018E" w:rsidRDefault="009B05D3"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نصّت المادة الأولى من قانون القضاء العسكري رقم 24 تاريخ 13/4/1968 على أن يعطى وزير الدفاع الوطني تجاه المحاكم العسكرية جميع الصلاحيات المعطاة لوزير العدل تجاه المحاكم العدلية في كل ما لا يتنافى وأحكام هذا القانون.</w:t>
      </w:r>
      <w:r w:rsidR="00887377" w:rsidRPr="0051018E">
        <w:rPr>
          <w:rFonts w:ascii="Simplified Arabic" w:hAnsi="Simplified Arabic" w:cs="Simplified Arabic"/>
          <w:sz w:val="28"/>
          <w:szCs w:val="28"/>
          <w:rtl/>
        </w:rPr>
        <w:t xml:space="preserve"> </w:t>
      </w:r>
    </w:p>
    <w:p w14:paraId="795F051C" w14:textId="47FBBF0C" w:rsidR="009B05D3" w:rsidRPr="0051018E" w:rsidRDefault="009B05D3"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ثمّ حددت المادة 13 من هذا القانون أصول تعيين القضاة العدليين في المحاكم العسكرية حيث نصّت على أن :"يعين القضاة العدليون لدى المحاكم العسكرية من قضاة الملاك العدلي بمرسوم بناء على اقتراح وزيري العدل والدفاع الوطني وبعد موافقة مجلس القضاء الأعلى.</w:t>
      </w:r>
    </w:p>
    <w:p w14:paraId="4D540147" w14:textId="4D59DA7F" w:rsidR="009B05D3" w:rsidRPr="0051018E" w:rsidRDefault="009B05D3"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يبقى هؤلاء القضاة خاضعين لنظامهم وتابعين لوزارة العدل في كل ما يتعلق برواتبهم وترقيتهم وتأديبهم ويمكن في أي وقت كان إعادتهم إلى القضاء العدلي وفقاً للأصول المبينة لتعيينهم في الفقرة السابقة، على انه عند نقلهم يجب أن يشتركوا في إصدار القرار في الدعاوى التي ختمت المحاكمة فيها.</w:t>
      </w:r>
    </w:p>
    <w:p w14:paraId="0B20145B" w14:textId="20C2AFDC" w:rsidR="00887377" w:rsidRPr="0051018E" w:rsidRDefault="00887377"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 xml:space="preserve">إن المشترع وبنصٍ صريح أراد أن يشارك وزير الدفاع في اقتراح أسماء القضاة المدنيين في المحاكم العسكرية، بينما كان في النص السابق (المادة 32 من قانون العقوبات العسكرية) يمنح هذه الصلاحية لوزير العدلية منفرداً. </w:t>
      </w:r>
    </w:p>
    <w:p w14:paraId="2AC1CF3F" w14:textId="1FDD0920" w:rsidR="009B05D3" w:rsidRPr="0051018E" w:rsidRDefault="009B05D3" w:rsidP="0051018E">
      <w:pPr>
        <w:autoSpaceDE w:val="0"/>
        <w:autoSpaceDN w:val="0"/>
        <w:bidi/>
        <w:adjustRightInd w:val="0"/>
        <w:spacing w:after="0" w:line="240" w:lineRule="auto"/>
        <w:jc w:val="both"/>
        <w:rPr>
          <w:rFonts w:ascii="Simplified Arabic" w:hAnsi="Simplified Arabic" w:cs="Simplified Arabic"/>
          <w:sz w:val="28"/>
          <w:szCs w:val="28"/>
          <w:rtl/>
        </w:rPr>
      </w:pPr>
    </w:p>
    <w:p w14:paraId="3A8D39EE" w14:textId="214061F8" w:rsidR="00841B6C" w:rsidRPr="0051018E" w:rsidRDefault="009B05D3"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 xml:space="preserve">ولما صدر </w:t>
      </w:r>
      <w:r w:rsidRPr="0051018E">
        <w:rPr>
          <w:rFonts w:ascii="Simplified Arabic" w:hAnsi="Simplified Arabic" w:cs="Simplified Arabic"/>
          <w:b/>
          <w:bCs/>
          <w:sz w:val="28"/>
          <w:szCs w:val="28"/>
          <w:u w:val="single"/>
          <w:rtl/>
        </w:rPr>
        <w:t xml:space="preserve"> </w:t>
      </w:r>
      <w:r w:rsidRPr="0051018E">
        <w:rPr>
          <w:rFonts w:ascii="Simplified Arabic" w:hAnsi="Simplified Arabic" w:cs="Simplified Arabic"/>
          <w:sz w:val="28"/>
          <w:szCs w:val="28"/>
          <w:rtl/>
        </w:rPr>
        <w:t xml:space="preserve">قانون </w:t>
      </w:r>
      <w:r w:rsidR="009B53A3" w:rsidRPr="0051018E">
        <w:rPr>
          <w:rFonts w:ascii="Simplified Arabic" w:hAnsi="Simplified Arabic" w:cs="Simplified Arabic"/>
          <w:sz w:val="28"/>
          <w:szCs w:val="28"/>
          <w:rtl/>
        </w:rPr>
        <w:t xml:space="preserve">تنظيم </w:t>
      </w:r>
      <w:r w:rsidRPr="0051018E">
        <w:rPr>
          <w:rFonts w:ascii="Simplified Arabic" w:hAnsi="Simplified Arabic" w:cs="Simplified Arabic"/>
          <w:sz w:val="28"/>
          <w:szCs w:val="28"/>
          <w:rtl/>
        </w:rPr>
        <w:t>القضاء العدلي</w:t>
      </w:r>
      <w:r w:rsidRPr="0051018E">
        <w:rPr>
          <w:rFonts w:ascii="Simplified Arabic" w:hAnsi="Simplified Arabic" w:cs="Simplified Arabic"/>
          <w:sz w:val="28"/>
          <w:szCs w:val="28"/>
        </w:rPr>
        <w:t xml:space="preserve"> </w:t>
      </w:r>
      <w:r w:rsidRPr="0051018E">
        <w:rPr>
          <w:rFonts w:ascii="Simplified Arabic" w:hAnsi="Simplified Arabic" w:cs="Simplified Arabic"/>
          <w:sz w:val="28"/>
          <w:szCs w:val="28"/>
          <w:rtl/>
        </w:rPr>
        <w:t xml:space="preserve"> بموجب</w:t>
      </w:r>
      <w:r w:rsidR="009B53A3" w:rsidRPr="0051018E">
        <w:rPr>
          <w:rFonts w:ascii="Simplified Arabic" w:hAnsi="Simplified Arabic" w:cs="Simplified Arabic"/>
          <w:sz w:val="28"/>
          <w:szCs w:val="28"/>
          <w:rtl/>
        </w:rPr>
        <w:t xml:space="preserve"> المرسوم الاشتراعي رقم 150 تاريخ 16/9/1983 فإنه لم يشر إلى</w:t>
      </w:r>
      <w:r w:rsidR="00C61F8E" w:rsidRPr="0051018E">
        <w:rPr>
          <w:rFonts w:ascii="Simplified Arabic" w:hAnsi="Simplified Arabic" w:cs="Simplified Arabic"/>
          <w:sz w:val="28"/>
          <w:szCs w:val="28"/>
          <w:rtl/>
        </w:rPr>
        <w:t xml:space="preserve"> آلية</w:t>
      </w:r>
      <w:r w:rsidR="009B53A3" w:rsidRPr="0051018E">
        <w:rPr>
          <w:rFonts w:ascii="Simplified Arabic" w:hAnsi="Simplified Arabic" w:cs="Simplified Arabic"/>
          <w:sz w:val="28"/>
          <w:szCs w:val="28"/>
          <w:rtl/>
        </w:rPr>
        <w:t xml:space="preserve"> تعيين القضاة المدنيين في المحاكم العسكرية، بل تضمّن </w:t>
      </w:r>
      <w:r w:rsidR="00A85E39" w:rsidRPr="0051018E">
        <w:rPr>
          <w:rFonts w:ascii="Simplified Arabic" w:hAnsi="Simplified Arabic" w:cs="Simplified Arabic"/>
          <w:sz w:val="28"/>
          <w:szCs w:val="28"/>
          <w:rtl/>
        </w:rPr>
        <w:t>نصاً صريحاً بأن ملاك القضاء العسكري مختلف عن ملاك القضاء العدلي، حيث جاء في المادة 32 من هذا القانون</w:t>
      </w:r>
      <w:r w:rsidR="00841B6C" w:rsidRPr="0051018E">
        <w:rPr>
          <w:rFonts w:ascii="Simplified Arabic" w:hAnsi="Simplified Arabic" w:cs="Simplified Arabic"/>
          <w:sz w:val="28"/>
          <w:szCs w:val="28"/>
          <w:rtl/>
        </w:rPr>
        <w:t xml:space="preserve"> على أن يحدد ملاك وعدد القضاة المدنيين لدى القضاء العسكري في جدول رابع يلحق بهذا المرسوم الاشتراعي.</w:t>
      </w:r>
    </w:p>
    <w:p w14:paraId="05A6A602" w14:textId="45051DEE" w:rsidR="00E61F9D" w:rsidRPr="0051018E" w:rsidRDefault="00CE5260" w:rsidP="00CE5260">
      <w:pPr>
        <w:autoSpaceDE w:val="0"/>
        <w:autoSpaceDN w:val="0"/>
        <w:bidi/>
        <w:adjustRightInd w:val="0"/>
        <w:spacing w:after="0" w:line="240" w:lineRule="auto"/>
        <w:jc w:val="both"/>
        <w:rPr>
          <w:rFonts w:ascii="Simplified Arabic" w:hAnsi="Simplified Arabic" w:cs="Simplified Arabic"/>
          <w:sz w:val="28"/>
          <w:szCs w:val="28"/>
          <w:rtl/>
        </w:rPr>
      </w:pPr>
      <w:r w:rsidRPr="00CE5260">
        <w:rPr>
          <w:rFonts w:ascii="Simplified Arabic" w:hAnsi="Simplified Arabic" w:cs="Simplified Arabic"/>
          <w:sz w:val="28"/>
          <w:szCs w:val="28"/>
          <w:rtl/>
        </w:rPr>
        <w:t>ثمّ في المادة 80 منه عمد إلى تحديد الدرجات القضائية التي تتيح للقاضي تولي مراكز قضائية بما فيها المراكز القضائية ل</w:t>
      </w:r>
      <w:bookmarkStart w:id="0" w:name="_GoBack"/>
      <w:bookmarkEnd w:id="0"/>
      <w:r w:rsidRPr="00CE5260">
        <w:rPr>
          <w:rFonts w:ascii="Simplified Arabic" w:hAnsi="Simplified Arabic" w:cs="Simplified Arabic"/>
          <w:sz w:val="28"/>
          <w:szCs w:val="28"/>
          <w:rtl/>
        </w:rPr>
        <w:t>دى القضاء العسكري، وتمّ تعديل هذه الدرجات بما ينسجم مع سلم الدرجات الجديد للسلك  القضائي( 22 درجة)  بموجب  القانون رقم 389 تاريخ 21/12/2001 بحيث لم يشر هذا القانون الجديد أيضاً إلى آلية تعيين القضاة العدليين في المحاكم العسكرية</w:t>
      </w:r>
      <w:r>
        <w:rPr>
          <w:rFonts w:ascii="Simplified Arabic" w:hAnsi="Simplified Arabic" w:cs="Simplified Arabic" w:hint="cs"/>
          <w:sz w:val="28"/>
          <w:szCs w:val="28"/>
          <w:rtl/>
        </w:rPr>
        <w:t xml:space="preserve">، </w:t>
      </w:r>
      <w:r w:rsidR="00E61F9D" w:rsidRPr="0051018E">
        <w:rPr>
          <w:rFonts w:ascii="Simplified Arabic" w:hAnsi="Simplified Arabic" w:cs="Simplified Arabic"/>
          <w:sz w:val="28"/>
          <w:szCs w:val="28"/>
          <w:rtl/>
        </w:rPr>
        <w:t xml:space="preserve">وإنما كانت المادة </w:t>
      </w:r>
      <w:r w:rsidR="00E61F9D" w:rsidRPr="0051018E">
        <w:rPr>
          <w:rFonts w:ascii="Simplified Arabic" w:hAnsi="Simplified Arabic" w:cs="Simplified Arabic"/>
          <w:sz w:val="28"/>
          <w:szCs w:val="28"/>
          <w:rtl/>
        </w:rPr>
        <w:lastRenderedPageBreak/>
        <w:t>الخامسة الجديدة من قانون تنظيم القضاء العدلي تنصّ على أنه :" بالإضافة إلى المقررات يتخذها مجلس القضاء الأعلى والآراء التي يبديها في الحالات المنصوص عليها في القانون والأنظمة تناط به الصلاحيات التالية:</w:t>
      </w:r>
    </w:p>
    <w:p w14:paraId="2CE3CD35" w14:textId="77777777" w:rsidR="00E61F9D" w:rsidRPr="0051018E" w:rsidRDefault="00E61F9D" w:rsidP="0051018E">
      <w:pPr>
        <w:autoSpaceDE w:val="0"/>
        <w:autoSpaceDN w:val="0"/>
        <w:bidi/>
        <w:adjustRightInd w:val="0"/>
        <w:spacing w:after="0" w:line="240" w:lineRule="auto"/>
        <w:ind w:left="426" w:hanging="426"/>
        <w:jc w:val="both"/>
        <w:rPr>
          <w:rFonts w:ascii="Simplified Arabic" w:hAnsi="Simplified Arabic" w:cs="Simplified Arabic"/>
          <w:sz w:val="28"/>
          <w:szCs w:val="28"/>
          <w:rtl/>
        </w:rPr>
      </w:pPr>
      <w:r w:rsidRPr="0051018E">
        <w:rPr>
          <w:rFonts w:ascii="Simplified Arabic" w:hAnsi="Simplified Arabic" w:cs="Simplified Arabic"/>
          <w:sz w:val="28"/>
          <w:szCs w:val="28"/>
          <w:rtl/>
        </w:rPr>
        <w:t xml:space="preserve">أ </w:t>
      </w:r>
      <w:r w:rsidRPr="0051018E">
        <w:rPr>
          <w:rFonts w:ascii="Simplified Arabic" w:hAnsi="Simplified Arabic" w:cs="Simplified Arabic"/>
          <w:sz w:val="28"/>
          <w:szCs w:val="28"/>
        </w:rPr>
        <w:t>-</w:t>
      </w:r>
      <w:r w:rsidRPr="0051018E">
        <w:rPr>
          <w:rFonts w:ascii="Simplified Arabic" w:hAnsi="Simplified Arabic" w:cs="Simplified Arabic"/>
          <w:sz w:val="28"/>
          <w:szCs w:val="28"/>
          <w:rtl/>
        </w:rPr>
        <w:t xml:space="preserve"> وضع مشروع المناقلات والإلحاقات والانتدابات القضائية الفردية أو الجماعية وعرضها على وزير العدل للموافقة عليه.</w:t>
      </w:r>
    </w:p>
    <w:p w14:paraId="72292A1B" w14:textId="50DF82ED" w:rsidR="00E61F9D" w:rsidRPr="0051018E" w:rsidRDefault="00E61F9D"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ب- لا تصبح التشكيلات نافذة الا بعد موافقة وزير العدل.</w:t>
      </w:r>
    </w:p>
    <w:p w14:paraId="29AEA9FF" w14:textId="2CBC64B1" w:rsidR="00E61F9D" w:rsidRPr="0051018E" w:rsidRDefault="00E61F9D" w:rsidP="0051018E">
      <w:pPr>
        <w:autoSpaceDE w:val="0"/>
        <w:autoSpaceDN w:val="0"/>
        <w:bidi/>
        <w:adjustRightInd w:val="0"/>
        <w:spacing w:after="0" w:line="240" w:lineRule="auto"/>
        <w:jc w:val="both"/>
        <w:rPr>
          <w:rFonts w:ascii="Simplified Arabic" w:hAnsi="Simplified Arabic" w:cs="Simplified Arabic"/>
          <w:sz w:val="28"/>
          <w:szCs w:val="28"/>
          <w:rtl/>
        </w:rPr>
      </w:pPr>
    </w:p>
    <w:p w14:paraId="526FB7F6" w14:textId="25DF0CA4" w:rsidR="00E61F9D" w:rsidRPr="0051018E" w:rsidRDefault="00E61F9D"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ما طرح التساؤل حول ما إذا كان تعيين القضاة العدليين لدى المحاكم العسكرية يدخل ضمن مندرجات هذه المادة.</w:t>
      </w:r>
    </w:p>
    <w:p w14:paraId="36A61BE5" w14:textId="0C27610E" w:rsidR="00753167" w:rsidRPr="0051018E" w:rsidRDefault="00D119F3"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hint="cs"/>
          <w:sz w:val="28"/>
          <w:szCs w:val="28"/>
          <w:rtl/>
        </w:rPr>
        <w:t xml:space="preserve">إن مندرجات هذه المادة </w:t>
      </w:r>
      <w:r w:rsidR="00CA1C14" w:rsidRPr="0051018E">
        <w:rPr>
          <w:rFonts w:ascii="Simplified Arabic" w:hAnsi="Simplified Arabic" w:cs="Simplified Arabic" w:hint="cs"/>
          <w:sz w:val="28"/>
          <w:szCs w:val="28"/>
          <w:rtl/>
        </w:rPr>
        <w:t xml:space="preserve">تتحدث عن مناقلات وإلحاقات وانتدابات تخضع لاقتراح وزير العدل، أي تلك المتصلة  بالقضاء العدلي الذي  يدخل ضمن تنظيمات وزارة العدل القضائية، أما القضاء العسكري فليس جزءاً من تنظيمات وزارة العدل القضائية، بل إن المادة الأولى من قانون القضاء العسكري واضحة لناحية </w:t>
      </w:r>
      <w:r w:rsidR="00753167" w:rsidRPr="0051018E">
        <w:rPr>
          <w:rFonts w:ascii="Simplified Arabic" w:hAnsi="Simplified Arabic" w:cs="Simplified Arabic" w:hint="cs"/>
          <w:sz w:val="28"/>
          <w:szCs w:val="28"/>
          <w:rtl/>
        </w:rPr>
        <w:t xml:space="preserve">إعطاء </w:t>
      </w:r>
      <w:r w:rsidR="00753167" w:rsidRPr="0051018E">
        <w:rPr>
          <w:rFonts w:ascii="Simplified Arabic" w:hAnsi="Simplified Arabic" w:cs="Simplified Arabic"/>
          <w:sz w:val="28"/>
          <w:szCs w:val="28"/>
          <w:rtl/>
        </w:rPr>
        <w:t>وزير الدفاع الوطني تجاه المحاكم العسكرية جميع الصلاحيات المعطاة لوزير العدل تجاه المحاكم العدلية</w:t>
      </w:r>
      <w:r w:rsidR="00753167" w:rsidRPr="0051018E">
        <w:rPr>
          <w:rFonts w:ascii="Simplified Arabic" w:hAnsi="Simplified Arabic" w:cs="Simplified Arabic" w:hint="cs"/>
          <w:sz w:val="28"/>
          <w:szCs w:val="28"/>
          <w:rtl/>
        </w:rPr>
        <w:t>. ما يعني أن التعيينات المتصلة بالقضاء العسكري يفترض وفق حرفية هذه المادة لا تصبح نافذة إلا بعد موافقة وزير الدفاع.</w:t>
      </w:r>
    </w:p>
    <w:p w14:paraId="77FDAD7F" w14:textId="12AC4FDB" w:rsidR="00753167" w:rsidRPr="0051018E" w:rsidRDefault="00753167" w:rsidP="0051018E">
      <w:pPr>
        <w:autoSpaceDE w:val="0"/>
        <w:autoSpaceDN w:val="0"/>
        <w:bidi/>
        <w:adjustRightInd w:val="0"/>
        <w:spacing w:after="0" w:line="240" w:lineRule="auto"/>
        <w:jc w:val="both"/>
        <w:rPr>
          <w:rFonts w:ascii="Simplified Arabic" w:eastAsia="Times New Roman" w:hAnsi="Simplified Arabic" w:cs="Simplified Arabic"/>
          <w:sz w:val="28"/>
          <w:szCs w:val="28"/>
          <w:rtl/>
        </w:rPr>
      </w:pPr>
      <w:r w:rsidRPr="0051018E">
        <w:rPr>
          <w:rFonts w:ascii="Simplified Arabic" w:hAnsi="Simplified Arabic" w:cs="Simplified Arabic"/>
          <w:sz w:val="28"/>
          <w:szCs w:val="28"/>
          <w:rtl/>
        </w:rPr>
        <w:t xml:space="preserve">ويجد هذا التفسير سنده في المادة 54 من الدستور التي تلزم بأن يوقّع على مقرررات رئيس الجمهورية الوزير المختص، وحيث </w:t>
      </w:r>
      <w:r w:rsidR="009355F5" w:rsidRPr="0051018E">
        <w:rPr>
          <w:rFonts w:ascii="Simplified Arabic" w:hAnsi="Simplified Arabic" w:cs="Simplified Arabic"/>
          <w:sz w:val="28"/>
          <w:szCs w:val="28"/>
          <w:rtl/>
        </w:rPr>
        <w:t xml:space="preserve">أن </w:t>
      </w:r>
      <w:r w:rsidRPr="0051018E">
        <w:rPr>
          <w:rFonts w:ascii="Simplified Arabic" w:hAnsi="Simplified Arabic" w:cs="Simplified Arabic"/>
          <w:sz w:val="28"/>
          <w:szCs w:val="28"/>
          <w:rtl/>
        </w:rPr>
        <w:t xml:space="preserve">وزير الدفاع الوطني </w:t>
      </w:r>
      <w:r w:rsidR="009355F5" w:rsidRPr="0051018E">
        <w:rPr>
          <w:rFonts w:ascii="Simplified Arabic" w:hAnsi="Simplified Arabic" w:cs="Simplified Arabic"/>
          <w:sz w:val="28"/>
          <w:szCs w:val="28"/>
          <w:rtl/>
        </w:rPr>
        <w:t xml:space="preserve">يمارس </w:t>
      </w:r>
      <w:r w:rsidRPr="0051018E">
        <w:rPr>
          <w:rFonts w:ascii="Simplified Arabic" w:hAnsi="Simplified Arabic" w:cs="Simplified Arabic"/>
          <w:sz w:val="28"/>
          <w:szCs w:val="28"/>
          <w:rtl/>
        </w:rPr>
        <w:t>تجاه المحاكم العسكرية جميع الصلاحيات المعطاة لوزير العدل تجاه المحاكم العدلية</w:t>
      </w:r>
      <w:r w:rsidR="009355F5" w:rsidRPr="0051018E">
        <w:rPr>
          <w:rFonts w:ascii="Simplified Arabic" w:hAnsi="Simplified Arabic" w:cs="Simplified Arabic"/>
          <w:sz w:val="28"/>
          <w:szCs w:val="28"/>
          <w:rtl/>
        </w:rPr>
        <w:t xml:space="preserve">، فإنه السلطة المختصة لتوقيع مرسوم تعيين القضاة العدليين في المحاكم العسكرية هو وزير الدفاع الوطني. وقد </w:t>
      </w:r>
      <w:r w:rsidR="009355F5" w:rsidRPr="0051018E">
        <w:rPr>
          <w:rFonts w:ascii="Simplified Arabic" w:eastAsia="Times New Roman" w:hAnsi="Simplified Arabic" w:cs="Simplified Arabic"/>
          <w:sz w:val="28"/>
          <w:szCs w:val="28"/>
          <w:rtl/>
        </w:rPr>
        <w:t xml:space="preserve">وفسّر </w:t>
      </w:r>
      <w:r w:rsidR="00665DA7" w:rsidRPr="0051018E">
        <w:rPr>
          <w:rFonts w:ascii="Simplified Arabic" w:eastAsia="Times New Roman" w:hAnsi="Simplified Arabic" w:cs="Simplified Arabic"/>
          <w:sz w:val="28"/>
          <w:szCs w:val="28"/>
          <w:rtl/>
        </w:rPr>
        <w:t xml:space="preserve">مجلس شورى الدولة </w:t>
      </w:r>
      <w:r w:rsidR="009355F5" w:rsidRPr="0051018E">
        <w:rPr>
          <w:rFonts w:ascii="Simplified Arabic" w:eastAsia="Times New Roman" w:hAnsi="Simplified Arabic" w:cs="Simplified Arabic"/>
          <w:sz w:val="28"/>
          <w:szCs w:val="28"/>
          <w:rtl/>
        </w:rPr>
        <w:t xml:space="preserve">معنى الوزراء المختصين الوارد في المادة 54 من الدستور، </w:t>
      </w:r>
      <w:r w:rsidR="00665DA7" w:rsidRPr="0051018E">
        <w:rPr>
          <w:rFonts w:ascii="Simplified Arabic" w:eastAsia="Times New Roman" w:hAnsi="Simplified Arabic" w:cs="Simplified Arabic" w:hint="cs"/>
          <w:sz w:val="28"/>
          <w:szCs w:val="28"/>
          <w:rtl/>
        </w:rPr>
        <w:t>... إن</w:t>
      </w:r>
      <w:r w:rsidR="009355F5" w:rsidRPr="0051018E">
        <w:rPr>
          <w:rFonts w:ascii="Simplified Arabic" w:eastAsia="Times New Roman" w:hAnsi="Simplified Arabic" w:cs="Simplified Arabic"/>
          <w:sz w:val="28"/>
          <w:szCs w:val="28"/>
          <w:rtl/>
        </w:rPr>
        <w:t xml:space="preserve"> صدور المرسوم بصورة عامة لا يحتاج إلا الى اقتراح وتوقيع الوزير المختص الذي يتعلق المرسوم مباشرة أو بصورة رئيسية بالوزارة التي يتناول شؤونها، </w:t>
      </w:r>
      <w:r w:rsidR="00665DA7" w:rsidRPr="0051018E">
        <w:rPr>
          <w:rFonts w:ascii="Simplified Arabic" w:eastAsia="Times New Roman" w:hAnsi="Simplified Arabic" w:cs="Simplified Arabic" w:hint="cs"/>
          <w:sz w:val="28"/>
          <w:szCs w:val="28"/>
          <w:rtl/>
        </w:rPr>
        <w:t xml:space="preserve">أي، </w:t>
      </w:r>
      <w:r w:rsidR="009355F5" w:rsidRPr="0051018E">
        <w:rPr>
          <w:rFonts w:ascii="Simplified Arabic" w:eastAsia="Times New Roman" w:hAnsi="Simplified Arabic" w:cs="Simplified Arabic"/>
          <w:sz w:val="28"/>
          <w:szCs w:val="28"/>
          <w:rtl/>
        </w:rPr>
        <w:t>يجب أن يقترن المرسوم بتوقيع كل وزير يكون لوزارته علاقة مباشرة بالأحكام القانونية والتنظيمية التي يتضمنها المرسوم</w:t>
      </w:r>
      <w:r w:rsidR="00665DA7" w:rsidRPr="0051018E">
        <w:rPr>
          <w:rFonts w:ascii="Simplified Arabic" w:eastAsia="Times New Roman" w:hAnsi="Simplified Arabic" w:cs="Simplified Arabic"/>
          <w:sz w:val="28"/>
          <w:szCs w:val="28"/>
          <w:rtl/>
        </w:rPr>
        <w:t xml:space="preserve"> </w:t>
      </w:r>
      <w:r w:rsidR="009355F5" w:rsidRPr="0051018E">
        <w:rPr>
          <w:rFonts w:ascii="Simplified Arabic" w:eastAsia="Times New Roman" w:hAnsi="Simplified Arabic" w:cs="Simplified Arabic"/>
          <w:sz w:val="28"/>
          <w:szCs w:val="28"/>
          <w:rtl/>
        </w:rPr>
        <w:t>(مجلس القضايا القرار الرقم 14/92- 93 تاريخ 19/11/1992 القاضي يوسف سعدالله الخوري/ الدولة – القاضي جوزف شاوول)</w:t>
      </w:r>
      <w:r w:rsidR="009355F5" w:rsidRPr="0051018E">
        <w:rPr>
          <w:rFonts w:ascii="Simplified Arabic" w:eastAsia="Times New Roman" w:hAnsi="Simplified Arabic" w:cs="Simplified Arabic"/>
          <w:sz w:val="28"/>
          <w:szCs w:val="28"/>
        </w:rPr>
        <w:t>.</w:t>
      </w:r>
    </w:p>
    <w:p w14:paraId="778044C5" w14:textId="0EDB2CF6" w:rsidR="00665DA7" w:rsidRPr="0051018E" w:rsidRDefault="00665DA7" w:rsidP="0051018E">
      <w:pPr>
        <w:autoSpaceDE w:val="0"/>
        <w:autoSpaceDN w:val="0"/>
        <w:bidi/>
        <w:adjustRightInd w:val="0"/>
        <w:spacing w:after="0" w:line="240" w:lineRule="auto"/>
        <w:jc w:val="both"/>
        <w:rPr>
          <w:rFonts w:ascii="Simplified Arabic" w:eastAsia="Times New Roman" w:hAnsi="Simplified Arabic" w:cs="Simplified Arabic"/>
          <w:sz w:val="28"/>
          <w:szCs w:val="28"/>
          <w:rtl/>
        </w:rPr>
      </w:pPr>
    </w:p>
    <w:p w14:paraId="0958825B" w14:textId="0D66944B" w:rsidR="00665DA7" w:rsidRPr="0051018E" w:rsidRDefault="00665DA7"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eastAsia="Times New Roman" w:hAnsi="Simplified Arabic" w:cs="Simplified Arabic" w:hint="cs"/>
          <w:sz w:val="28"/>
          <w:szCs w:val="28"/>
          <w:rtl/>
        </w:rPr>
        <w:lastRenderedPageBreak/>
        <w:t>ولما كان قانون القضاء العسكري في أكثر من مادةٍ فيه</w:t>
      </w:r>
      <w:r w:rsidR="00B53444" w:rsidRPr="0051018E">
        <w:rPr>
          <w:rFonts w:ascii="Simplified Arabic" w:eastAsia="Times New Roman" w:hAnsi="Simplified Arabic" w:cs="Simplified Arabic" w:hint="cs"/>
          <w:sz w:val="28"/>
          <w:szCs w:val="28"/>
          <w:rtl/>
        </w:rPr>
        <w:t xml:space="preserve"> وليس فقط المادة الأولى منه قد</w:t>
      </w:r>
      <w:r w:rsidRPr="0051018E">
        <w:rPr>
          <w:rFonts w:ascii="Simplified Arabic" w:eastAsia="Times New Roman" w:hAnsi="Simplified Arabic" w:cs="Simplified Arabic" w:hint="cs"/>
          <w:sz w:val="28"/>
          <w:szCs w:val="28"/>
          <w:rtl/>
        </w:rPr>
        <w:t xml:space="preserve"> نصّت على صلاحية وزير الدفاع </w:t>
      </w:r>
      <w:r w:rsidR="00B53444" w:rsidRPr="0051018E">
        <w:rPr>
          <w:rFonts w:ascii="Simplified Arabic" w:eastAsia="Times New Roman" w:hAnsi="Simplified Arabic" w:cs="Simplified Arabic" w:hint="cs"/>
          <w:sz w:val="28"/>
          <w:szCs w:val="28"/>
          <w:rtl/>
        </w:rPr>
        <w:t>ك</w:t>
      </w:r>
      <w:r w:rsidR="00B53444" w:rsidRPr="0051018E">
        <w:rPr>
          <w:rFonts w:ascii="Simplified Arabic" w:hAnsi="Simplified Arabic" w:cs="Simplified Arabic"/>
          <w:sz w:val="28"/>
          <w:szCs w:val="28"/>
          <w:rtl/>
        </w:rPr>
        <w:t xml:space="preserve">المادتين 8 و9 </w:t>
      </w:r>
      <w:r w:rsidR="00B53444" w:rsidRPr="0051018E">
        <w:rPr>
          <w:rFonts w:ascii="Simplified Arabic" w:hAnsi="Simplified Arabic" w:cs="Simplified Arabic" w:hint="cs"/>
          <w:sz w:val="28"/>
          <w:szCs w:val="28"/>
          <w:rtl/>
        </w:rPr>
        <w:t xml:space="preserve">اللتين </w:t>
      </w:r>
      <w:r w:rsidR="00B53444" w:rsidRPr="0051018E">
        <w:rPr>
          <w:rFonts w:ascii="Simplified Arabic" w:hAnsi="Simplified Arabic" w:cs="Simplified Arabic"/>
          <w:sz w:val="28"/>
          <w:szCs w:val="28"/>
          <w:rtl/>
        </w:rPr>
        <w:t>تشترطان موافقة وزير الدفاع وليس فقط اقتراحه لتعيين قاضٍ في هيئة المحكمة.</w:t>
      </w:r>
      <w:r w:rsidR="00B53444" w:rsidRPr="0051018E">
        <w:rPr>
          <w:rFonts w:ascii="Simplified Arabic" w:hAnsi="Simplified Arabic" w:cs="Simplified Arabic" w:hint="cs"/>
          <w:sz w:val="28"/>
          <w:szCs w:val="28"/>
          <w:rtl/>
        </w:rPr>
        <w:t xml:space="preserve"> </w:t>
      </w:r>
    </w:p>
    <w:p w14:paraId="2CD03450" w14:textId="3EA62ABC" w:rsidR="00B53444" w:rsidRPr="0051018E" w:rsidRDefault="00B53444" w:rsidP="0051018E">
      <w:pPr>
        <w:autoSpaceDE w:val="0"/>
        <w:autoSpaceDN w:val="0"/>
        <w:bidi/>
        <w:adjustRightInd w:val="0"/>
        <w:spacing w:after="0" w:line="240" w:lineRule="auto"/>
        <w:jc w:val="both"/>
        <w:rPr>
          <w:rFonts w:ascii="Simplified Arabic" w:hAnsi="Simplified Arabic" w:cs="Simplified Arabic"/>
          <w:sz w:val="28"/>
          <w:szCs w:val="28"/>
        </w:rPr>
      </w:pPr>
      <w:r w:rsidRPr="0051018E">
        <w:rPr>
          <w:rFonts w:ascii="Simplified Arabic" w:hAnsi="Simplified Arabic" w:cs="Simplified Arabic" w:hint="cs"/>
          <w:sz w:val="28"/>
          <w:szCs w:val="28"/>
          <w:rtl/>
        </w:rPr>
        <w:t>كذلك المواد 7 و11 و12 منه التي لا</w:t>
      </w:r>
      <w:r w:rsidR="00BB56B8">
        <w:rPr>
          <w:rFonts w:ascii="Simplified Arabic" w:hAnsi="Simplified Arabic" w:cs="Simplified Arabic" w:hint="cs"/>
          <w:sz w:val="28"/>
          <w:szCs w:val="28"/>
          <w:rtl/>
          <w:lang w:bidi="ar-LB"/>
        </w:rPr>
        <w:t>ت</w:t>
      </w:r>
      <w:r w:rsidRPr="0051018E">
        <w:rPr>
          <w:rFonts w:ascii="Simplified Arabic" w:hAnsi="Simplified Arabic" w:cs="Simplified Arabic"/>
          <w:sz w:val="28"/>
          <w:szCs w:val="28"/>
          <w:rtl/>
        </w:rPr>
        <w:t xml:space="preserve">لزم وزارة الدفاع باختيار القضاة حكماً من القضاة العدليين، حيث يمكن اختيارهم من الضباط: </w:t>
      </w:r>
    </w:p>
    <w:p w14:paraId="51F622B2" w14:textId="77777777" w:rsidR="00B53444" w:rsidRPr="0051018E" w:rsidRDefault="00B53444" w:rsidP="0051018E">
      <w:pPr>
        <w:autoSpaceDE w:val="0"/>
        <w:autoSpaceDN w:val="0"/>
        <w:bidi/>
        <w:adjustRightInd w:val="0"/>
        <w:spacing w:after="0" w:line="240" w:lineRule="auto"/>
        <w:jc w:val="both"/>
        <w:rPr>
          <w:rFonts w:ascii="Simplified Arabic" w:hAnsi="Simplified Arabic" w:cs="Simplified Arabic"/>
          <w:sz w:val="28"/>
          <w:szCs w:val="28"/>
        </w:rPr>
      </w:pPr>
      <w:r w:rsidRPr="0051018E">
        <w:rPr>
          <w:rFonts w:ascii="Simplified Arabic" w:hAnsi="Simplified Arabic" w:cs="Simplified Arabic"/>
          <w:sz w:val="28"/>
          <w:szCs w:val="28"/>
          <w:rtl/>
        </w:rPr>
        <w:t xml:space="preserve">المادة 7- يتولى القضاء العسكري المنفرد قضاة من ملاك القضاء العدلي،  </w:t>
      </w:r>
      <w:r w:rsidRPr="0051018E">
        <w:rPr>
          <w:rFonts w:ascii="Simplified Arabic" w:hAnsi="Simplified Arabic" w:cs="Simplified Arabic"/>
          <w:sz w:val="28"/>
          <w:szCs w:val="28"/>
          <w:u w:val="single"/>
          <w:rtl/>
        </w:rPr>
        <w:t>غير أنه يمكن  تعيينهم من الضباط المجازين في الحقوق من رتبة ملازم أول فما فوق</w:t>
      </w:r>
      <w:r w:rsidRPr="0051018E">
        <w:rPr>
          <w:rFonts w:ascii="Simplified Arabic" w:hAnsi="Simplified Arabic" w:cs="Simplified Arabic"/>
          <w:sz w:val="28"/>
          <w:szCs w:val="28"/>
          <w:rtl/>
        </w:rPr>
        <w:t xml:space="preserve"> وإذا تعذر ذلك فمن غير المجازين.</w:t>
      </w:r>
    </w:p>
    <w:p w14:paraId="6A9DF33C" w14:textId="77777777" w:rsidR="00B53444" w:rsidRPr="0051018E" w:rsidRDefault="00B53444" w:rsidP="0051018E">
      <w:pPr>
        <w:autoSpaceDE w:val="0"/>
        <w:autoSpaceDN w:val="0"/>
        <w:bidi/>
        <w:adjustRightInd w:val="0"/>
        <w:spacing w:after="0" w:line="240" w:lineRule="auto"/>
        <w:jc w:val="both"/>
        <w:rPr>
          <w:rFonts w:ascii="Simplified Arabic" w:hAnsi="Simplified Arabic" w:cs="Simplified Arabic"/>
          <w:sz w:val="28"/>
          <w:szCs w:val="28"/>
        </w:rPr>
      </w:pPr>
      <w:r w:rsidRPr="0051018E">
        <w:rPr>
          <w:rFonts w:ascii="Simplified Arabic" w:hAnsi="Simplified Arabic" w:cs="Simplified Arabic"/>
          <w:sz w:val="28"/>
          <w:szCs w:val="28"/>
          <w:rtl/>
        </w:rPr>
        <w:t xml:space="preserve">المادة 11- .... يقوم  بوظيفة مفوض الحكومة لدى المحكمة العسكرية أحد القضاة من الدرجة الحادية عشرة وما فوق يعاونه قاض أو عدة قضاة </w:t>
      </w:r>
      <w:r w:rsidRPr="0051018E">
        <w:rPr>
          <w:rFonts w:ascii="Simplified Arabic" w:hAnsi="Simplified Arabic" w:cs="Simplified Arabic"/>
          <w:sz w:val="28"/>
          <w:szCs w:val="28"/>
          <w:u w:val="single"/>
          <w:rtl/>
        </w:rPr>
        <w:t>أو ضابط أو عدة ضباط من المجازين في الحقوق على أن لا تقل رتبته عن رتبة نقيب</w:t>
      </w:r>
      <w:r w:rsidRPr="0051018E">
        <w:rPr>
          <w:rFonts w:ascii="Simplified Arabic" w:hAnsi="Simplified Arabic" w:cs="Simplified Arabic"/>
          <w:sz w:val="28"/>
          <w:szCs w:val="28"/>
          <w:rtl/>
        </w:rPr>
        <w:t xml:space="preserve"> فما فوق ينتدب العسكريين منهم وزير الدفاع الوطني لهذه الغاية وفاقاً لأحكام المادة 14.</w:t>
      </w:r>
    </w:p>
    <w:p w14:paraId="48892634" w14:textId="77777777" w:rsidR="00B53444" w:rsidRPr="0051018E" w:rsidRDefault="00B53444"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 xml:space="preserve">المادة 12- يقوم بوظيفة قاضي تحقيق لدى المحكمة العسكرية قاض  أو عدة قضاة من رتبة قاضي تحقيق في ملاك القضاء العدلي، </w:t>
      </w:r>
      <w:r w:rsidRPr="0051018E">
        <w:rPr>
          <w:rFonts w:ascii="Simplified Arabic" w:hAnsi="Simplified Arabic" w:cs="Simplified Arabic"/>
          <w:sz w:val="28"/>
          <w:szCs w:val="28"/>
          <w:u w:val="single"/>
          <w:rtl/>
        </w:rPr>
        <w:t>أو ضابط أو عدة ضباط من المجازين في الحقوق</w:t>
      </w:r>
      <w:r w:rsidRPr="0051018E">
        <w:rPr>
          <w:rFonts w:ascii="Simplified Arabic" w:hAnsi="Simplified Arabic" w:cs="Simplified Arabic"/>
          <w:sz w:val="28"/>
          <w:szCs w:val="28"/>
          <w:rtl/>
        </w:rPr>
        <w:t>.</w:t>
      </w:r>
    </w:p>
    <w:p w14:paraId="508B77D3" w14:textId="71879953" w:rsidR="00B53444" w:rsidRPr="0051018E" w:rsidRDefault="00B53444"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hint="cs"/>
          <w:sz w:val="28"/>
          <w:szCs w:val="28"/>
          <w:rtl/>
        </w:rPr>
        <w:t xml:space="preserve">فهذه </w:t>
      </w:r>
      <w:r w:rsidRPr="0051018E">
        <w:rPr>
          <w:rFonts w:ascii="Simplified Arabic" w:hAnsi="Simplified Arabic" w:cs="Simplified Arabic"/>
          <w:sz w:val="28"/>
          <w:szCs w:val="28"/>
          <w:rtl/>
        </w:rPr>
        <w:t xml:space="preserve">المواد واضحة جداً على أن بالإمكان تعيين قضاة المحكمة العسكرية من القضاة العدليين أو من الضباط.  </w:t>
      </w:r>
    </w:p>
    <w:p w14:paraId="3C794C9D" w14:textId="1799AA99" w:rsidR="0051018E" w:rsidRPr="0051018E" w:rsidRDefault="0051018E"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hint="cs"/>
          <w:sz w:val="28"/>
          <w:szCs w:val="28"/>
          <w:rtl/>
        </w:rPr>
        <w:t>فهل كل هذه الصلاحيات قد ألغيت ضمناً ب</w:t>
      </w:r>
      <w:r w:rsidRPr="0051018E">
        <w:rPr>
          <w:rFonts w:ascii="Simplified Arabic" w:hAnsi="Simplified Arabic" w:cs="Simplified Arabic"/>
          <w:sz w:val="28"/>
          <w:szCs w:val="28"/>
          <w:rtl/>
        </w:rPr>
        <w:t>المادة 136من قانون تنظيم القضاء العدلي التي تنصّ على أن:" تلغى جميع الأحكام القانونية المخالفة أو غير المتوافقة مع أحكام هذا المرسوم الاشتراعي ويلغى القانون رقم 49/65 تاريخ 6/9/1965".</w:t>
      </w:r>
    </w:p>
    <w:p w14:paraId="3353B193" w14:textId="147CECEB" w:rsidR="00B53444" w:rsidRPr="0051018E" w:rsidRDefault="00B53444" w:rsidP="0051018E">
      <w:pPr>
        <w:autoSpaceDE w:val="0"/>
        <w:autoSpaceDN w:val="0"/>
        <w:bidi/>
        <w:adjustRightInd w:val="0"/>
        <w:spacing w:after="0" w:line="240" w:lineRule="auto"/>
        <w:jc w:val="both"/>
        <w:rPr>
          <w:rFonts w:ascii="Simplified Arabic" w:hAnsi="Simplified Arabic" w:cs="Simplified Arabic"/>
          <w:sz w:val="28"/>
          <w:szCs w:val="28"/>
        </w:rPr>
      </w:pPr>
    </w:p>
    <w:p w14:paraId="5FF845ED" w14:textId="456F490E" w:rsidR="00753167" w:rsidRPr="0051018E" w:rsidRDefault="00753167" w:rsidP="0051018E">
      <w:pPr>
        <w:autoSpaceDE w:val="0"/>
        <w:autoSpaceDN w:val="0"/>
        <w:bidi/>
        <w:adjustRightInd w:val="0"/>
        <w:spacing w:after="0" w:line="240" w:lineRule="auto"/>
        <w:jc w:val="both"/>
        <w:rPr>
          <w:rFonts w:ascii="Simplified Arabic" w:hAnsi="Simplified Arabic" w:cs="Simplified Arabic"/>
          <w:sz w:val="28"/>
          <w:szCs w:val="28"/>
          <w:rtl/>
        </w:rPr>
      </w:pPr>
      <w:r w:rsidRPr="0051018E">
        <w:rPr>
          <w:rFonts w:ascii="Simplified Arabic" w:hAnsi="Simplified Arabic" w:cs="Simplified Arabic"/>
          <w:sz w:val="28"/>
          <w:szCs w:val="28"/>
          <w:rtl/>
        </w:rPr>
        <w:t>إن ا</w:t>
      </w:r>
      <w:r w:rsidR="0051018E" w:rsidRPr="0051018E">
        <w:rPr>
          <w:rFonts w:ascii="Simplified Arabic" w:hAnsi="Simplified Arabic" w:cs="Simplified Arabic" w:hint="cs"/>
          <w:sz w:val="28"/>
          <w:szCs w:val="28"/>
          <w:rtl/>
        </w:rPr>
        <w:t>ل</w:t>
      </w:r>
      <w:r w:rsidRPr="0051018E">
        <w:rPr>
          <w:rFonts w:ascii="Simplified Arabic" w:hAnsi="Simplified Arabic" w:cs="Simplified Arabic"/>
          <w:sz w:val="28"/>
          <w:szCs w:val="28"/>
          <w:rtl/>
        </w:rPr>
        <w:t xml:space="preserve">لجوء إلى القياس أو البحث عن تفسير النص تكون في حالة غموضه، أما إزاء النص الصريح الواضح، فلا يمكن الحديث عن تفسير، وهذه قاعدة معروفة منذ القدم" لا اجتهاد في معرض النص الصريح" وحيث أن </w:t>
      </w:r>
      <w:r w:rsidR="0051018E" w:rsidRPr="0051018E">
        <w:rPr>
          <w:rFonts w:ascii="Simplified Arabic" w:hAnsi="Simplified Arabic" w:cs="Simplified Arabic" w:hint="cs"/>
          <w:sz w:val="28"/>
          <w:szCs w:val="28"/>
          <w:rtl/>
        </w:rPr>
        <w:t xml:space="preserve">مواد </w:t>
      </w:r>
      <w:r w:rsidRPr="0051018E">
        <w:rPr>
          <w:rFonts w:ascii="Simplified Arabic" w:hAnsi="Simplified Arabic" w:cs="Simplified Arabic"/>
          <w:sz w:val="28"/>
          <w:szCs w:val="28"/>
          <w:rtl/>
        </w:rPr>
        <w:t xml:space="preserve">قانون القضاء العسكري </w:t>
      </w:r>
      <w:r w:rsidR="0051018E" w:rsidRPr="0051018E">
        <w:rPr>
          <w:rFonts w:ascii="Simplified Arabic" w:hAnsi="Simplified Arabic" w:cs="Simplified Arabic" w:hint="cs"/>
          <w:sz w:val="28"/>
          <w:szCs w:val="28"/>
          <w:rtl/>
        </w:rPr>
        <w:t xml:space="preserve">تمنح صلاحية لوزير الدفاع، فإنه </w:t>
      </w:r>
      <w:r w:rsidRPr="0051018E">
        <w:rPr>
          <w:rFonts w:ascii="Simplified Arabic" w:hAnsi="Simplified Arabic" w:cs="Simplified Arabic"/>
          <w:sz w:val="28"/>
          <w:szCs w:val="28"/>
          <w:rtl/>
        </w:rPr>
        <w:t>مع صراحة هذا النص ووض</w:t>
      </w:r>
      <w:r w:rsidR="0051018E" w:rsidRPr="0051018E">
        <w:rPr>
          <w:rFonts w:ascii="Simplified Arabic" w:hAnsi="Simplified Arabic" w:cs="Simplified Arabic" w:hint="cs"/>
          <w:sz w:val="28"/>
          <w:szCs w:val="28"/>
          <w:rtl/>
        </w:rPr>
        <w:t>و</w:t>
      </w:r>
      <w:r w:rsidRPr="0051018E">
        <w:rPr>
          <w:rFonts w:ascii="Simplified Arabic" w:hAnsi="Simplified Arabic" w:cs="Simplified Arabic"/>
          <w:sz w:val="28"/>
          <w:szCs w:val="28"/>
          <w:rtl/>
        </w:rPr>
        <w:t>حه لا يكون مناسباً أو منطقياً البحث بين الخبايا عن تفسيرات تناقض هذا النص.</w:t>
      </w:r>
    </w:p>
    <w:p w14:paraId="59527E5E" w14:textId="4CC6C5A6" w:rsidR="0051018E" w:rsidRPr="0051018E" w:rsidRDefault="0051018E" w:rsidP="0051018E">
      <w:pPr>
        <w:autoSpaceDE w:val="0"/>
        <w:autoSpaceDN w:val="0"/>
        <w:bidi/>
        <w:adjustRightInd w:val="0"/>
        <w:spacing w:after="0" w:line="240" w:lineRule="auto"/>
        <w:jc w:val="both"/>
        <w:rPr>
          <w:rFonts w:ascii="Simplified Arabic" w:hAnsi="Simplified Arabic" w:cs="Simplified Arabic"/>
          <w:sz w:val="28"/>
          <w:szCs w:val="28"/>
          <w:rtl/>
        </w:rPr>
      </w:pPr>
    </w:p>
    <w:p w14:paraId="644D079E" w14:textId="6E253BB1" w:rsidR="0051018E" w:rsidRPr="0051018E" w:rsidRDefault="0051018E" w:rsidP="0051018E">
      <w:pPr>
        <w:bidi/>
        <w:jc w:val="both"/>
        <w:rPr>
          <w:rFonts w:ascii="Simplified Arabic" w:hAnsi="Simplified Arabic" w:cs="Simplified Arabic"/>
          <w:sz w:val="28"/>
          <w:szCs w:val="28"/>
        </w:rPr>
      </w:pPr>
      <w:r w:rsidRPr="0051018E">
        <w:rPr>
          <w:rFonts w:ascii="Simplified Arabic" w:hAnsi="Simplified Arabic" w:cs="Simplified Arabic" w:hint="cs"/>
          <w:sz w:val="28"/>
          <w:szCs w:val="28"/>
          <w:rtl/>
        </w:rPr>
        <w:t>يضاف إلى ذلك أن</w:t>
      </w:r>
      <w:r w:rsidRPr="0051018E">
        <w:rPr>
          <w:rFonts w:ascii="Simplified Arabic" w:hAnsi="Simplified Arabic" w:cs="Simplified Arabic"/>
          <w:sz w:val="28"/>
          <w:szCs w:val="28"/>
          <w:rtl/>
        </w:rPr>
        <w:t xml:space="preserve"> المستقر عليه في الفقه والاجتهاد على أن  الالغاء الضمني يكون بصدور تشريع جديد يتضمن حكما يتضارب مع حكم تشريع سابق. فيعتبر الحكم الجديد ناسخا ضمنا للحكم القديم، لاستحالة اعمال الحكمين المتضاربين في وقت واحد وتغليبا لارادة المشرع الحديثة على ارادته السابقة</w:t>
      </w:r>
      <w:r w:rsidRPr="0051018E">
        <w:rPr>
          <w:rFonts w:ascii="Simplified Arabic" w:hAnsi="Simplified Arabic" w:cs="Simplified Arabic"/>
          <w:sz w:val="28"/>
          <w:szCs w:val="28"/>
        </w:rPr>
        <w:t>.</w:t>
      </w:r>
    </w:p>
    <w:p w14:paraId="7A2A2052" w14:textId="77777777" w:rsidR="0051018E" w:rsidRPr="0051018E" w:rsidRDefault="0051018E" w:rsidP="0051018E">
      <w:pPr>
        <w:bidi/>
        <w:jc w:val="both"/>
        <w:rPr>
          <w:rFonts w:ascii="Simplified Arabic" w:hAnsi="Simplified Arabic" w:cs="Simplified Arabic"/>
          <w:sz w:val="28"/>
          <w:szCs w:val="28"/>
          <w:rtl/>
        </w:rPr>
      </w:pPr>
      <w:r w:rsidRPr="0051018E">
        <w:rPr>
          <w:rFonts w:ascii="Simplified Arabic" w:hAnsi="Simplified Arabic" w:cs="Simplified Arabic"/>
          <w:sz w:val="28"/>
          <w:szCs w:val="28"/>
          <w:rtl/>
        </w:rPr>
        <w:lastRenderedPageBreak/>
        <w:t xml:space="preserve"> فإذا كان التشريع الجديد حكما عاما والقديم حكما خاص، فيعمل بالجديد على انه القاعدة العامة ويبقى العمل بالقديم على حاله ولكنه يعتبر استثناء لأن النص العام لا يمكن أن يلغي النص الخاص السابق الغاء ضمنيا ولا بد له في الغائه من النص على ذلك صراحة.  (على سبيل المثال: سليمان مرقص- الوافي شرح القانون المدني المصري- منشورات صادر الحقوقية- الكتاب الأول). </w:t>
      </w:r>
    </w:p>
    <w:p w14:paraId="3D26E785" w14:textId="1BCDB870" w:rsidR="0051018E" w:rsidRPr="0051018E" w:rsidRDefault="0051018E" w:rsidP="0051018E">
      <w:pPr>
        <w:bidi/>
        <w:jc w:val="both"/>
        <w:rPr>
          <w:rFonts w:ascii="Simplified Arabic" w:eastAsia="Times New Roman" w:hAnsi="Simplified Arabic" w:cs="Simplified Arabic"/>
          <w:sz w:val="28"/>
          <w:szCs w:val="28"/>
          <w:rtl/>
        </w:rPr>
      </w:pPr>
      <w:r w:rsidRPr="0051018E">
        <w:rPr>
          <w:rFonts w:ascii="Simplified Arabic" w:hAnsi="Simplified Arabic" w:cs="Simplified Arabic"/>
          <w:sz w:val="28"/>
          <w:szCs w:val="28"/>
          <w:rtl/>
        </w:rPr>
        <w:t>وفي اجتهاد مجلس شورى الدولة نجد ذات القاعدة، أنه في مجال تنازع القوانين إذا تعارض قانون عام مع قانون خاص</w:t>
      </w:r>
      <w:r w:rsidR="00BE5868">
        <w:rPr>
          <w:rFonts w:ascii="Simplified Arabic" w:hAnsi="Simplified Arabic" w:cs="Simplified Arabic" w:hint="cs"/>
          <w:sz w:val="28"/>
          <w:szCs w:val="28"/>
          <w:rtl/>
        </w:rPr>
        <w:t>:</w:t>
      </w:r>
      <w:r w:rsidRPr="0051018E">
        <w:rPr>
          <w:rFonts w:ascii="Simplified Arabic" w:hAnsi="Simplified Arabic" w:cs="Simplified Arabic"/>
          <w:sz w:val="28"/>
          <w:szCs w:val="28"/>
          <w:rtl/>
        </w:rPr>
        <w:t xml:space="preserve"> يغل</w:t>
      </w:r>
      <w:r w:rsidR="00BE5868">
        <w:rPr>
          <w:rFonts w:ascii="Simplified Arabic" w:hAnsi="Simplified Arabic" w:cs="Simplified Arabic" w:hint="cs"/>
          <w:sz w:val="28"/>
          <w:szCs w:val="28"/>
          <w:rtl/>
        </w:rPr>
        <w:t>ّ</w:t>
      </w:r>
      <w:r w:rsidRPr="0051018E">
        <w:rPr>
          <w:rFonts w:ascii="Simplified Arabic" w:hAnsi="Simplified Arabic" w:cs="Simplified Arabic"/>
          <w:sz w:val="28"/>
          <w:szCs w:val="28"/>
          <w:rtl/>
        </w:rPr>
        <w:t xml:space="preserve">ب القانون الخاص على القانون العام (م.ش. </w:t>
      </w:r>
      <w:r w:rsidRPr="0051018E">
        <w:rPr>
          <w:rFonts w:ascii="Simplified Arabic" w:eastAsia="Times New Roman" w:hAnsi="Simplified Arabic" w:cs="Simplified Arabic"/>
          <w:sz w:val="28"/>
          <w:szCs w:val="28"/>
          <w:rtl/>
        </w:rPr>
        <w:t>قرار رقم 413 تاريخ 8/4/2003</w:t>
      </w:r>
      <w:bookmarkStart w:id="1" w:name="Anchor20"/>
      <w:bookmarkEnd w:id="1"/>
      <w:r w:rsidRPr="0051018E">
        <w:rPr>
          <w:rFonts w:ascii="Simplified Arabic" w:eastAsia="Times New Roman" w:hAnsi="Simplified Arabic" w:cs="Simplified Arabic"/>
          <w:sz w:val="28"/>
          <w:szCs w:val="28"/>
          <w:rtl/>
        </w:rPr>
        <w:t>بلدية قرنة شهوان/ الخوري</w:t>
      </w:r>
      <w:r w:rsidR="00BE5868">
        <w:rPr>
          <w:rFonts w:ascii="Simplified Arabic" w:eastAsia="Times New Roman" w:hAnsi="Simplified Arabic" w:cs="Simplified Arabic" w:hint="cs"/>
          <w:sz w:val="28"/>
          <w:szCs w:val="28"/>
          <w:rtl/>
        </w:rPr>
        <w:t>- وال</w:t>
      </w:r>
      <w:r w:rsidRPr="0051018E">
        <w:rPr>
          <w:rFonts w:ascii="Simplified Arabic" w:eastAsia="Times New Roman" w:hAnsi="Simplified Arabic" w:cs="Simplified Arabic"/>
          <w:sz w:val="28"/>
          <w:szCs w:val="28"/>
          <w:rtl/>
        </w:rPr>
        <w:t xml:space="preserve">قرار رقم 40 </w:t>
      </w:r>
      <w:bookmarkStart w:id="2" w:name="Anchor4"/>
      <w:bookmarkEnd w:id="2"/>
      <w:r w:rsidRPr="0051018E">
        <w:rPr>
          <w:rFonts w:ascii="Simplified Arabic" w:eastAsia="Times New Roman" w:hAnsi="Simplified Arabic" w:cs="Simplified Arabic"/>
          <w:sz w:val="28"/>
          <w:szCs w:val="28"/>
          <w:rtl/>
        </w:rPr>
        <w:t>تاريخ 12/02/1987</w:t>
      </w:r>
      <w:r w:rsidRPr="0051018E">
        <w:rPr>
          <w:rFonts w:ascii="Simplified Arabic" w:eastAsia="Times New Roman" w:hAnsi="Simplified Arabic" w:cs="Simplified Arabic"/>
          <w:noProof/>
          <w:sz w:val="28"/>
          <w:szCs w:val="28"/>
          <w:rtl/>
        </w:rPr>
        <w:t xml:space="preserve"> </w:t>
      </w:r>
      <w:bookmarkStart w:id="3" w:name="Anchor7"/>
      <w:bookmarkStart w:id="4" w:name="Anchor19"/>
      <w:bookmarkEnd w:id="3"/>
      <w:bookmarkEnd w:id="4"/>
      <w:r w:rsidRPr="0051018E">
        <w:rPr>
          <w:rFonts w:ascii="Simplified Arabic" w:eastAsia="Times New Roman" w:hAnsi="Simplified Arabic" w:cs="Simplified Arabic"/>
          <w:sz w:val="28"/>
          <w:szCs w:val="28"/>
          <w:rtl/>
        </w:rPr>
        <w:t>شمعون/ الدولة).</w:t>
      </w:r>
    </w:p>
    <w:p w14:paraId="22CEBAA7" w14:textId="74DD7120" w:rsidR="0051018E" w:rsidRPr="00F51575" w:rsidRDefault="0051018E" w:rsidP="00F51575">
      <w:pPr>
        <w:bidi/>
        <w:jc w:val="both"/>
        <w:rPr>
          <w:rFonts w:ascii="Simplified Arabic" w:hAnsi="Simplified Arabic" w:cs="Simplified Arabic"/>
          <w:sz w:val="28"/>
          <w:szCs w:val="28"/>
          <w:rtl/>
        </w:rPr>
      </w:pPr>
      <w:r w:rsidRPr="0051018E">
        <w:rPr>
          <w:rFonts w:ascii="Simplified Arabic" w:eastAsia="Times New Roman" w:hAnsi="Simplified Arabic" w:cs="Simplified Arabic"/>
          <w:sz w:val="28"/>
          <w:szCs w:val="28"/>
          <w:rtl/>
        </w:rPr>
        <w:t xml:space="preserve">وفي حكمٍ متصل بإلغاء صلاحية </w:t>
      </w:r>
      <w:r w:rsidR="00BB56B8">
        <w:rPr>
          <w:rFonts w:ascii="Simplified Arabic" w:eastAsia="Times New Roman" w:hAnsi="Simplified Arabic" w:cs="Simplified Arabic" w:hint="cs"/>
          <w:sz w:val="28"/>
          <w:szCs w:val="28"/>
          <w:rtl/>
        </w:rPr>
        <w:t xml:space="preserve">بصورةٍ </w:t>
      </w:r>
      <w:r w:rsidRPr="0051018E">
        <w:rPr>
          <w:rFonts w:ascii="Simplified Arabic" w:eastAsia="Times New Roman" w:hAnsi="Simplified Arabic" w:cs="Simplified Arabic"/>
          <w:sz w:val="28"/>
          <w:szCs w:val="28"/>
          <w:rtl/>
        </w:rPr>
        <w:t xml:space="preserve">ضمنية قضى مجلس شورى الدولة :" </w:t>
      </w:r>
      <w:r w:rsidRPr="0051018E">
        <w:rPr>
          <w:rFonts w:ascii="Simplified Arabic" w:hAnsi="Simplified Arabic" w:cs="Simplified Arabic"/>
          <w:sz w:val="28"/>
          <w:szCs w:val="28"/>
          <w:rtl/>
        </w:rPr>
        <w:t xml:space="preserve"> يقتضي معرفة  ما اذا كان هناك الغاء لصلاحية رئيس الجمهورية المقررة في المادة 3 من القرار رقم 15 بموجب التعديل الدستوري الحاصل عام 1990</w:t>
      </w:r>
      <w:r w:rsidRPr="0051018E">
        <w:rPr>
          <w:rFonts w:ascii="Simplified Arabic" w:hAnsi="Simplified Arabic" w:cs="Simplified Arabic"/>
          <w:sz w:val="28"/>
          <w:szCs w:val="28"/>
        </w:rPr>
        <w:t>.</w:t>
      </w:r>
      <w:r w:rsidRPr="0051018E">
        <w:rPr>
          <w:rFonts w:ascii="Simplified Arabic" w:hAnsi="Simplified Arabic" w:cs="Simplified Arabic"/>
          <w:sz w:val="28"/>
          <w:szCs w:val="28"/>
          <w:rtl/>
        </w:rPr>
        <w:t xml:space="preserve"> وبما أن المادة 102 من التعديل الدستوري تنص على الغاء جميع الأحكام الاشتراعية المخالفة للدستور دون أن تتضمّن  تحديدا صريحا للنصوص التشريعية المشمولة بهذا </w:t>
      </w:r>
      <w:r w:rsidRPr="00F51575">
        <w:rPr>
          <w:rFonts w:ascii="Simplified Arabic" w:hAnsi="Simplified Arabic" w:cs="Simplified Arabic"/>
          <w:sz w:val="28"/>
          <w:szCs w:val="28"/>
          <w:rtl/>
        </w:rPr>
        <w:t>الالغاء مما لا يمكن معه القول بوجود الغاء صريح لأحكام المادة /3 من القرار رقم 15 الذي له قوة القانون وذلك لجهة اختصاص رئيس الدولة في اعطاء الجنسية اللبنانية</w:t>
      </w:r>
      <w:r w:rsidRPr="00F51575">
        <w:rPr>
          <w:rFonts w:ascii="Simplified Arabic" w:hAnsi="Simplified Arabic" w:cs="Simplified Arabic"/>
          <w:sz w:val="28"/>
          <w:szCs w:val="28"/>
        </w:rPr>
        <w:t xml:space="preserve"> </w:t>
      </w:r>
      <w:r w:rsidRPr="00F51575">
        <w:rPr>
          <w:rFonts w:ascii="Simplified Arabic" w:hAnsi="Simplified Arabic" w:cs="Simplified Arabic"/>
          <w:sz w:val="28"/>
          <w:szCs w:val="28"/>
          <w:rtl/>
        </w:rPr>
        <w:t xml:space="preserve"> ( مجلس القضايا قرار رقم</w:t>
      </w:r>
      <w:r w:rsidRPr="00F51575">
        <w:rPr>
          <w:rFonts w:ascii="Simplified Arabic" w:hAnsi="Simplified Arabic" w:cs="Simplified Arabic"/>
          <w:sz w:val="28"/>
          <w:szCs w:val="28"/>
        </w:rPr>
        <w:t xml:space="preserve"> </w:t>
      </w:r>
      <w:r w:rsidRPr="00F51575">
        <w:rPr>
          <w:rFonts w:ascii="Simplified Arabic" w:hAnsi="Simplified Arabic" w:cs="Simplified Arabic"/>
          <w:sz w:val="28"/>
          <w:szCs w:val="28"/>
          <w:rtl/>
        </w:rPr>
        <w:t xml:space="preserve">484/2002-2003 الرابطة المارونية/ الدولة). </w:t>
      </w:r>
    </w:p>
    <w:p w14:paraId="3F6F5526" w14:textId="49B69479" w:rsidR="00C66DF2" w:rsidRDefault="0051018E" w:rsidP="00F51575">
      <w:pPr>
        <w:bidi/>
        <w:jc w:val="both"/>
        <w:rPr>
          <w:rFonts w:ascii="Simplified Arabic" w:hAnsi="Simplified Arabic" w:cs="Simplified Arabic"/>
          <w:sz w:val="28"/>
          <w:szCs w:val="28"/>
          <w:rtl/>
        </w:rPr>
      </w:pPr>
      <w:r w:rsidRPr="00F51575">
        <w:rPr>
          <w:rFonts w:ascii="Simplified Arabic" w:hAnsi="Simplified Arabic" w:cs="Simplified Arabic"/>
          <w:sz w:val="28"/>
          <w:szCs w:val="28"/>
          <w:rtl/>
        </w:rPr>
        <w:t>لذا وبحسب التنظيم القانوني المرعي الإجراء فإن صلاحية وزير الدفاع باقتراح اسماء القضاة العدليين لدى المحاكم العسكرية  أو موافقته على اقتراح مجلس القضاء الأعلى (وفق التفسير المذكور) لا يمكن أن تلغى بنصٍ عام، وفق الحجج المذكورة أعلاه.</w:t>
      </w:r>
      <w:r w:rsidR="00F51575" w:rsidRPr="00F51575">
        <w:rPr>
          <w:rFonts w:ascii="Simplified Arabic" w:hAnsi="Simplified Arabic" w:cs="Simplified Arabic"/>
          <w:sz w:val="28"/>
          <w:szCs w:val="28"/>
          <w:rtl/>
        </w:rPr>
        <w:t xml:space="preserve"> </w:t>
      </w:r>
    </w:p>
    <w:p w14:paraId="39903A59" w14:textId="6D1B44F1" w:rsidR="00667F86" w:rsidRDefault="00667F86" w:rsidP="00667F86">
      <w:pPr>
        <w:bidi/>
        <w:jc w:val="both"/>
        <w:rPr>
          <w:rFonts w:ascii="Simplified Arabic" w:hAnsi="Simplified Arabic" w:cs="Simplified Arabic"/>
          <w:sz w:val="28"/>
          <w:szCs w:val="28"/>
          <w:rtl/>
        </w:rPr>
      </w:pPr>
    </w:p>
    <w:p w14:paraId="4A30BEDF" w14:textId="626FFEBF" w:rsidR="00667F86" w:rsidRDefault="00201B6C" w:rsidP="00667F86">
      <w:pPr>
        <w:bidi/>
        <w:jc w:val="both"/>
      </w:pPr>
      <w:hyperlink r:id="rId6" w:history="1">
        <w:r w:rsidR="00667F86">
          <w:rPr>
            <w:rStyle w:val="Hyperlink"/>
          </w:rPr>
          <w:t>http://www.mahkama.net/?p=19660</w:t>
        </w:r>
      </w:hyperlink>
    </w:p>
    <w:sectPr w:rsidR="00667F86" w:rsidSect="0038295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24663"/>
    <w:multiLevelType w:val="hybridMultilevel"/>
    <w:tmpl w:val="339C2FCA"/>
    <w:lvl w:ilvl="0" w:tplc="09CC1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B4327"/>
    <w:multiLevelType w:val="hybridMultilevel"/>
    <w:tmpl w:val="9BD6ED40"/>
    <w:lvl w:ilvl="0" w:tplc="AA98349C">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D22353"/>
    <w:multiLevelType w:val="hybridMultilevel"/>
    <w:tmpl w:val="6A66502A"/>
    <w:lvl w:ilvl="0" w:tplc="CDC247DE">
      <w:start w:val="3"/>
      <w:numFmt w:val="bullet"/>
      <w:lvlText w:val="-"/>
      <w:lvlJc w:val="left"/>
      <w:pPr>
        <w:ind w:left="1080" w:hanging="360"/>
      </w:pPr>
      <w:rPr>
        <w:rFonts w:ascii="Arabic Transparent" w:eastAsiaTheme="minorHAnsi" w:hAnsi="Arabic Transparent" w:cs="Arabic Transparent" w:hint="default"/>
        <w:color w:val="0000FF"/>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5D3"/>
    <w:rsid w:val="001F438B"/>
    <w:rsid w:val="00201B6C"/>
    <w:rsid w:val="00296D93"/>
    <w:rsid w:val="0051018E"/>
    <w:rsid w:val="005B2EC1"/>
    <w:rsid w:val="00665DA7"/>
    <w:rsid w:val="00667F86"/>
    <w:rsid w:val="00753167"/>
    <w:rsid w:val="00841B6C"/>
    <w:rsid w:val="00887377"/>
    <w:rsid w:val="009355F5"/>
    <w:rsid w:val="009B05D3"/>
    <w:rsid w:val="009B53A3"/>
    <w:rsid w:val="00A33608"/>
    <w:rsid w:val="00A85E39"/>
    <w:rsid w:val="00AA7C7A"/>
    <w:rsid w:val="00B53444"/>
    <w:rsid w:val="00BB56B8"/>
    <w:rsid w:val="00BE5868"/>
    <w:rsid w:val="00C61F8E"/>
    <w:rsid w:val="00C66DF2"/>
    <w:rsid w:val="00CA1C14"/>
    <w:rsid w:val="00CE5260"/>
    <w:rsid w:val="00D119F3"/>
    <w:rsid w:val="00E0570C"/>
    <w:rsid w:val="00E61F9D"/>
    <w:rsid w:val="00E7768E"/>
    <w:rsid w:val="00F515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B09F2"/>
  <w15:chartTrackingRefBased/>
  <w15:docId w15:val="{709403A4-FEB7-4C21-8886-08C8719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167"/>
    <w:pPr>
      <w:ind w:left="720"/>
      <w:contextualSpacing/>
    </w:pPr>
  </w:style>
  <w:style w:type="character" w:styleId="Hyperlink">
    <w:name w:val="Hyperlink"/>
    <w:basedOn w:val="DefaultParagraphFont"/>
    <w:uiPriority w:val="99"/>
    <w:semiHidden/>
    <w:unhideWhenUsed/>
    <w:rsid w:val="00667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hkama.net/?p=196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C144-DAF1-4721-8269-58EDABD4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12</cp:revision>
  <dcterms:created xsi:type="dcterms:W3CDTF">2020-03-13T12:17:00Z</dcterms:created>
  <dcterms:modified xsi:type="dcterms:W3CDTF">2020-04-17T19:21:00Z</dcterms:modified>
</cp:coreProperties>
</file>