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0760C" w14:textId="77777777" w:rsidR="00A94BAA" w:rsidRPr="00B71FC8" w:rsidRDefault="00A94BAA" w:rsidP="00B71FC8">
      <w:pPr>
        <w:bidi/>
        <w:spacing w:after="0" w:line="240" w:lineRule="auto"/>
        <w:jc w:val="both"/>
        <w:rPr>
          <w:rFonts w:ascii="Simplified Arabic" w:hAnsi="Simplified Arabic" w:cs="Simplified Arabic"/>
          <w:sz w:val="28"/>
          <w:szCs w:val="28"/>
          <w:highlight w:val="cyan"/>
          <w:lang w:bidi="ar-LB"/>
        </w:rPr>
      </w:pPr>
    </w:p>
    <w:p w14:paraId="67FBFCAC" w14:textId="1004A251" w:rsidR="00A94BAA" w:rsidRDefault="00BA2167" w:rsidP="00B71FC8">
      <w:pPr>
        <w:pStyle w:val="NormalWeb"/>
        <w:shd w:val="clear" w:color="auto" w:fill="FFFFFF"/>
        <w:bidi/>
        <w:spacing w:before="0" w:beforeAutospacing="0" w:after="0" w:afterAutospacing="0"/>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أي مفاعيل لقرار المجلس الدستوري بمنح محكمة خاصة صلاحية إبطال قرار إداري؟</w:t>
      </w:r>
    </w:p>
    <w:p w14:paraId="0A476212" w14:textId="77777777" w:rsidR="00BA2167" w:rsidRDefault="00BA2167" w:rsidP="00BA2167">
      <w:pPr>
        <w:pStyle w:val="NormalWeb"/>
        <w:shd w:val="clear" w:color="auto" w:fill="FFFFFF"/>
        <w:bidi/>
        <w:spacing w:before="0" w:beforeAutospacing="0" w:after="0" w:afterAutospacing="0"/>
        <w:jc w:val="center"/>
        <w:rPr>
          <w:rFonts w:ascii="Simplified Arabic" w:hAnsi="Simplified Arabic" w:cs="Simplified Arabic"/>
          <w:sz w:val="28"/>
          <w:szCs w:val="28"/>
          <w:rtl/>
          <w:lang w:bidi="ar-LB"/>
        </w:rPr>
      </w:pPr>
    </w:p>
    <w:p w14:paraId="5C565063" w14:textId="379C7546" w:rsidR="00B71FC8" w:rsidRDefault="00B71FC8" w:rsidP="00BA2167">
      <w:pPr>
        <w:pStyle w:val="NormalWeb"/>
        <w:shd w:val="clear" w:color="auto" w:fill="FFFFFF"/>
        <w:bidi/>
        <w:spacing w:before="0" w:beforeAutospacing="0" w:after="0" w:afterAutospacing="0"/>
        <w:ind w:left="4320"/>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د. عصام إسماعيل</w:t>
      </w:r>
    </w:p>
    <w:p w14:paraId="5FE889EB" w14:textId="17FA2D6F" w:rsidR="00B71FC8" w:rsidRPr="00B71FC8" w:rsidRDefault="00B71FC8" w:rsidP="00BA2167">
      <w:pPr>
        <w:pStyle w:val="NormalWeb"/>
        <w:shd w:val="clear" w:color="auto" w:fill="FFFFFF"/>
        <w:bidi/>
        <w:spacing w:before="0" w:beforeAutospacing="0" w:after="0" w:afterAutospacing="0"/>
        <w:ind w:left="4320"/>
        <w:jc w:val="center"/>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استاذ القانون الإداري والدستوري في </w:t>
      </w:r>
      <w:r w:rsidR="000D1983">
        <w:rPr>
          <w:rFonts w:ascii="Simplified Arabic" w:hAnsi="Simplified Arabic" w:cs="Simplified Arabic" w:hint="cs"/>
          <w:sz w:val="28"/>
          <w:szCs w:val="28"/>
          <w:rtl/>
          <w:lang w:bidi="ar-LB"/>
        </w:rPr>
        <w:t>كلية الحقوق والعلوم السياسية والإدارية- الفرع الأول</w:t>
      </w:r>
    </w:p>
    <w:p w14:paraId="0028003E" w14:textId="4BAEE762" w:rsidR="00BA2167" w:rsidRDefault="00242BB9" w:rsidP="00B71FC8">
      <w:pPr>
        <w:widowControl w:val="0"/>
        <w:autoSpaceDE w:val="0"/>
        <w:autoSpaceDN w:val="0"/>
        <w:bidi/>
        <w:adjustRightInd w:val="0"/>
        <w:spacing w:after="0" w:line="240" w:lineRule="auto"/>
        <w:jc w:val="both"/>
        <w:rPr>
          <w:rFonts w:ascii="Simplified Arabic" w:hAnsi="Simplified Arabic" w:cs="Simplified Arabic"/>
          <w:kern w:val="0"/>
          <w:sz w:val="28"/>
          <w:szCs w:val="28"/>
          <w:rtl/>
          <w:lang w:bidi="ar-LB"/>
        </w:rPr>
      </w:pPr>
      <w:r>
        <w:rPr>
          <w:rFonts w:ascii="Simplified Arabic" w:hAnsi="Simplified Arabic" w:cs="Simplified Arabic" w:hint="cs"/>
          <w:kern w:val="0"/>
          <w:sz w:val="28"/>
          <w:szCs w:val="28"/>
          <w:rtl/>
          <w:lang w:bidi="ar-LB"/>
        </w:rPr>
        <w:t>نشرت في مجلة محكمة 31 تشرين الأول 2025</w:t>
      </w:r>
    </w:p>
    <w:p w14:paraId="73622EC3" w14:textId="1CD3B088" w:rsidR="00A94BAA" w:rsidRPr="00B71FC8" w:rsidRDefault="00A94BAA" w:rsidP="00BA2167">
      <w:pPr>
        <w:widowControl w:val="0"/>
        <w:autoSpaceDE w:val="0"/>
        <w:autoSpaceDN w:val="0"/>
        <w:bidi/>
        <w:adjustRightInd w:val="0"/>
        <w:spacing w:after="0" w:line="240" w:lineRule="auto"/>
        <w:jc w:val="both"/>
        <w:rPr>
          <w:rFonts w:ascii="Simplified Arabic" w:hAnsi="Simplified Arabic" w:cs="Simplified Arabic"/>
          <w:kern w:val="0"/>
          <w:sz w:val="28"/>
          <w:szCs w:val="28"/>
          <w:rtl/>
        </w:rPr>
      </w:pPr>
      <w:r w:rsidRPr="00B71FC8">
        <w:rPr>
          <w:rFonts w:ascii="Simplified Arabic" w:hAnsi="Simplified Arabic" w:cs="Simplified Arabic"/>
          <w:kern w:val="0"/>
          <w:sz w:val="28"/>
          <w:szCs w:val="28"/>
          <w:rtl/>
        </w:rPr>
        <w:t xml:space="preserve">في إطار سعي المشترع إلى إصلاح وضع المصارف وإعادة تنظيمها صدر القانون رقم 23 تاريخ 14/8/2025 الذي تضمّن نصاً خاصاً حول الطعن بقرارات الهيئة المصرفية العليا، حيث جاء في المادة 31 من هذا القانون:" </w:t>
      </w:r>
      <w:r w:rsidRPr="00B71FC8">
        <w:rPr>
          <w:rFonts w:ascii="Simplified Arabic" w:hAnsi="Simplified Arabic" w:cs="Simplified Arabic"/>
          <w:kern w:val="0"/>
          <w:sz w:val="28"/>
          <w:szCs w:val="28"/>
          <w:rtl/>
          <w:lang w:val="fr-FR"/>
        </w:rPr>
        <w:t>تقبل جميع القرارات الصادرة عن الهيئة المصرفية العليا الطعن أمام المحكمة الخاصة المنشأة بموجب</w:t>
      </w:r>
      <w:r w:rsidRPr="00B71FC8">
        <w:rPr>
          <w:rFonts w:ascii="Simplified Arabic" w:hAnsi="Simplified Arabic" w:cs="Simplified Arabic"/>
          <w:kern w:val="0"/>
          <w:sz w:val="28"/>
          <w:szCs w:val="28"/>
        </w:rPr>
        <w:t xml:space="preserve"> </w:t>
      </w:r>
      <w:r w:rsidRPr="00B71FC8">
        <w:rPr>
          <w:rFonts w:ascii="Simplified Arabic" w:hAnsi="Simplified Arabic" w:cs="Simplified Arabic"/>
          <w:kern w:val="0"/>
          <w:sz w:val="28"/>
          <w:szCs w:val="28"/>
          <w:rtl/>
        </w:rPr>
        <w:t>القانون رقم 110 تاريخ 11/7/1991 وتتبع أصول المحاكمات المدنية المتعلقة بمحكمة الدرجة الأولى. لا</w:t>
      </w:r>
      <w:r w:rsidRPr="00B71FC8">
        <w:rPr>
          <w:rFonts w:ascii="Simplified Arabic" w:hAnsi="Simplified Arabic" w:cs="Simplified Arabic"/>
          <w:kern w:val="0"/>
          <w:sz w:val="28"/>
          <w:szCs w:val="28"/>
          <w:rtl/>
          <w:lang w:bidi="ar-LB"/>
        </w:rPr>
        <w:t xml:space="preserve"> </w:t>
      </w:r>
      <w:r w:rsidRPr="00B71FC8">
        <w:rPr>
          <w:rFonts w:ascii="Simplified Arabic" w:hAnsi="Simplified Arabic" w:cs="Simplified Arabic"/>
          <w:kern w:val="0"/>
          <w:sz w:val="28"/>
          <w:szCs w:val="28"/>
          <w:rtl/>
        </w:rPr>
        <w:t>يوقف الطعن أمام المحكمة المختصة تنفيذ القرار المطعون فيه ولا يبطل القرارات المتخذة سابقاً من الهيئة</w:t>
      </w:r>
      <w:r w:rsidRPr="00B71FC8">
        <w:rPr>
          <w:rFonts w:ascii="Simplified Arabic" w:hAnsi="Simplified Arabic" w:cs="Simplified Arabic"/>
          <w:kern w:val="0"/>
          <w:sz w:val="28"/>
          <w:szCs w:val="28"/>
          <w:rtl/>
          <w:lang w:bidi="ar-LB"/>
        </w:rPr>
        <w:t xml:space="preserve"> </w:t>
      </w:r>
      <w:r w:rsidRPr="00B71FC8">
        <w:rPr>
          <w:rFonts w:ascii="Simplified Arabic" w:hAnsi="Simplified Arabic" w:cs="Simplified Arabic"/>
          <w:kern w:val="0"/>
          <w:sz w:val="28"/>
          <w:szCs w:val="28"/>
          <w:rtl/>
        </w:rPr>
        <w:t>المصرفية العليا - الغرفة الثانية وتقتصر الأحكام الصادرة عن المحكمة الخاصة في هذا الشأن على تحديد</w:t>
      </w:r>
      <w:r w:rsidRPr="00B71FC8">
        <w:rPr>
          <w:rFonts w:ascii="Simplified Arabic" w:hAnsi="Simplified Arabic" w:cs="Simplified Arabic"/>
          <w:kern w:val="0"/>
          <w:sz w:val="28"/>
          <w:szCs w:val="28"/>
          <w:rtl/>
          <w:lang w:bidi="ar-LB"/>
        </w:rPr>
        <w:t xml:space="preserve"> </w:t>
      </w:r>
      <w:r w:rsidRPr="00B71FC8">
        <w:rPr>
          <w:rFonts w:ascii="Simplified Arabic" w:hAnsi="Simplified Arabic" w:cs="Simplified Arabic"/>
          <w:kern w:val="0"/>
          <w:sz w:val="28"/>
          <w:szCs w:val="28"/>
          <w:rtl/>
        </w:rPr>
        <w:t>التعويضات المالية.</w:t>
      </w:r>
    </w:p>
    <w:p w14:paraId="041E95CF" w14:textId="0EC48928" w:rsidR="00A94BAA" w:rsidRPr="00B71FC8" w:rsidRDefault="00A94BAA" w:rsidP="00B71FC8">
      <w:pPr>
        <w:widowControl w:val="0"/>
        <w:autoSpaceDE w:val="0"/>
        <w:autoSpaceDN w:val="0"/>
        <w:bidi/>
        <w:adjustRightInd w:val="0"/>
        <w:spacing w:after="0" w:line="240" w:lineRule="auto"/>
        <w:jc w:val="both"/>
        <w:rPr>
          <w:rFonts w:ascii="Simplified Arabic" w:hAnsi="Simplified Arabic" w:cs="Simplified Arabic"/>
          <w:kern w:val="0"/>
          <w:sz w:val="28"/>
          <w:szCs w:val="28"/>
          <w:rtl/>
        </w:rPr>
      </w:pPr>
      <w:r w:rsidRPr="00B71FC8">
        <w:rPr>
          <w:rFonts w:ascii="Simplified Arabic" w:hAnsi="Simplified Arabic" w:cs="Simplified Arabic"/>
          <w:kern w:val="0"/>
          <w:sz w:val="28"/>
          <w:szCs w:val="28"/>
          <w:rtl/>
        </w:rPr>
        <w:t>وفق هذا القانون جرى إناطة صلاحية الطعن بقرارات الهيئة المصرفية العليا بجهة قضائية محددة هي المحكمة الخاصة المنشأة بالقانون 110/91 وحصر المشترع صلاحية هذه المحكمة بالنظر في طلبات التعويض دون إبطال القرارات أو وقف تنفيذها.</w:t>
      </w:r>
      <w:r w:rsidR="00F41A62" w:rsidRPr="00B71FC8">
        <w:rPr>
          <w:rFonts w:ascii="Simplified Arabic" w:hAnsi="Simplified Arabic" w:cs="Simplified Arabic"/>
          <w:kern w:val="0"/>
          <w:sz w:val="28"/>
          <w:szCs w:val="28"/>
          <w:rtl/>
        </w:rPr>
        <w:t xml:space="preserve"> </w:t>
      </w:r>
    </w:p>
    <w:p w14:paraId="2742560A" w14:textId="152C2AEB" w:rsidR="00F41A62" w:rsidRPr="00B71FC8" w:rsidRDefault="00BA2167" w:rsidP="00B71FC8">
      <w:pPr>
        <w:pStyle w:val="FootnoteText"/>
        <w:bidi/>
        <w:jc w:val="both"/>
        <w:rPr>
          <w:rFonts w:ascii="Simplified Arabic" w:hAnsi="Simplified Arabic" w:cs="Simplified Arabic"/>
          <w:sz w:val="28"/>
          <w:szCs w:val="28"/>
          <w:rtl/>
        </w:rPr>
      </w:pPr>
      <w:r>
        <w:rPr>
          <w:rFonts w:ascii="Simplified Arabic" w:hAnsi="Simplified Arabic" w:cs="Simplified Arabic" w:hint="cs"/>
          <w:sz w:val="28"/>
          <w:szCs w:val="28"/>
          <w:rtl/>
          <w:lang w:bidi="ar-LB"/>
        </w:rPr>
        <w:t>إن هذ</w:t>
      </w:r>
      <w:r w:rsidR="00F41A62" w:rsidRPr="00B71FC8">
        <w:rPr>
          <w:rFonts w:ascii="Simplified Arabic" w:hAnsi="Simplified Arabic" w:cs="Simplified Arabic"/>
          <w:sz w:val="28"/>
          <w:szCs w:val="28"/>
          <w:rtl/>
          <w:lang w:bidi="ar-LB"/>
        </w:rPr>
        <w:t>ا الموقف التشريعي</w:t>
      </w:r>
      <w:r>
        <w:rPr>
          <w:rFonts w:ascii="Simplified Arabic" w:hAnsi="Simplified Arabic" w:cs="Simplified Arabic" w:hint="cs"/>
          <w:sz w:val="28"/>
          <w:szCs w:val="28"/>
          <w:rtl/>
          <w:lang w:bidi="ar-LB"/>
        </w:rPr>
        <w:t xml:space="preserve"> منسجم كلياً</w:t>
      </w:r>
      <w:r w:rsidR="00F41A62" w:rsidRPr="00B71FC8">
        <w:rPr>
          <w:rFonts w:ascii="Simplified Arabic" w:hAnsi="Simplified Arabic" w:cs="Simplified Arabic"/>
          <w:sz w:val="28"/>
          <w:szCs w:val="28"/>
          <w:rtl/>
          <w:lang w:bidi="ar-LB"/>
        </w:rPr>
        <w:t xml:space="preserve"> مع القواعد الناظمة لعملية </w:t>
      </w:r>
      <w:r>
        <w:rPr>
          <w:rFonts w:ascii="Simplified Arabic" w:hAnsi="Simplified Arabic" w:cs="Simplified Arabic" w:hint="cs"/>
          <w:sz w:val="28"/>
          <w:szCs w:val="28"/>
          <w:rtl/>
          <w:lang w:bidi="ar-LB"/>
        </w:rPr>
        <w:t>تعديل</w:t>
      </w:r>
      <w:r w:rsidR="00F41A62" w:rsidRPr="00B71FC8">
        <w:rPr>
          <w:rFonts w:ascii="Simplified Arabic" w:hAnsi="Simplified Arabic" w:cs="Simplified Arabic"/>
          <w:sz w:val="28"/>
          <w:szCs w:val="28"/>
          <w:rtl/>
          <w:lang w:bidi="ar-LB"/>
        </w:rPr>
        <w:t xml:space="preserve"> الاختصاص ما بين القضائين العدلي والإداري ذلك أن </w:t>
      </w:r>
      <w:r w:rsidR="00F41A62" w:rsidRPr="00BA2167">
        <w:rPr>
          <w:rFonts w:ascii="Simplified Arabic" w:hAnsi="Simplified Arabic" w:cs="Simplified Arabic"/>
          <w:sz w:val="28"/>
          <w:szCs w:val="28"/>
          <w:rtl/>
          <w:lang w:bidi="ar-LB"/>
        </w:rPr>
        <w:t xml:space="preserve">سلطة المشترع في قلب قواعد الاختصاص ليست سلطة مطلقة، بل </w:t>
      </w:r>
      <w:r w:rsidRPr="00BA2167">
        <w:rPr>
          <w:rFonts w:ascii="Simplified Arabic" w:hAnsi="Simplified Arabic" w:cs="Simplified Arabic" w:hint="cs"/>
          <w:sz w:val="28"/>
          <w:szCs w:val="28"/>
          <w:rtl/>
          <w:lang w:bidi="ar-LB"/>
        </w:rPr>
        <w:t xml:space="preserve">هي مقيّدة </w:t>
      </w:r>
      <w:r w:rsidR="00F41A62" w:rsidRPr="00BA2167">
        <w:rPr>
          <w:rFonts w:ascii="Simplified Arabic" w:hAnsi="Simplified Arabic" w:cs="Simplified Arabic"/>
          <w:sz w:val="28"/>
          <w:szCs w:val="28"/>
          <w:rtl/>
          <w:lang w:bidi="ar-LB"/>
        </w:rPr>
        <w:t>بشرط أن يأتي هذا التغيير في الاختصاص لصالح حسن أداء العدالة</w:t>
      </w:r>
      <w:r w:rsidR="00F41A62" w:rsidRPr="00B71FC8">
        <w:rPr>
          <w:rFonts w:ascii="Simplified Arabic" w:hAnsi="Simplified Arabic" w:cs="Simplified Arabic"/>
          <w:sz w:val="28"/>
          <w:szCs w:val="28"/>
          <w:rtl/>
          <w:lang w:bidi="ar-LB"/>
        </w:rPr>
        <w:t xml:space="preserve">، </w:t>
      </w:r>
      <w:r>
        <w:rPr>
          <w:rFonts w:ascii="Simplified Arabic" w:hAnsi="Simplified Arabic" w:cs="Simplified Arabic" w:hint="cs"/>
          <w:sz w:val="28"/>
          <w:szCs w:val="28"/>
          <w:rtl/>
          <w:lang w:bidi="ar-LB"/>
        </w:rPr>
        <w:t>على أن ي</w:t>
      </w:r>
      <w:r w:rsidR="00285D35" w:rsidRPr="00B71FC8">
        <w:rPr>
          <w:rFonts w:ascii="Simplified Arabic" w:hAnsi="Simplified Arabic" w:cs="Simplified Arabic"/>
          <w:sz w:val="28"/>
          <w:szCs w:val="28"/>
          <w:rtl/>
          <w:lang w:bidi="ar-LB"/>
        </w:rPr>
        <w:t>حصر ذلك في إطار دعاوى القضاء الشامل والعقود دون مراجعات الإبطال لتجاوز حد السلطة التي تبقى محصورة لدى القضاء الإداري</w:t>
      </w:r>
      <w:r w:rsidR="00F41A62" w:rsidRPr="00B71FC8">
        <w:rPr>
          <w:rFonts w:ascii="Simplified Arabic" w:hAnsi="Simplified Arabic" w:cs="Simplified Arabic"/>
          <w:sz w:val="28"/>
          <w:szCs w:val="28"/>
          <w:vertAlign w:val="superscript"/>
          <w:rtl/>
          <w:lang w:bidi="ar-LB"/>
        </w:rPr>
        <w:t>(</w:t>
      </w:r>
      <w:r w:rsidR="00285D35" w:rsidRPr="00B71FC8">
        <w:rPr>
          <w:rFonts w:ascii="Simplified Arabic" w:hAnsi="Simplified Arabic" w:cs="Simplified Arabic"/>
          <w:sz w:val="28"/>
          <w:szCs w:val="28"/>
          <w:rtl/>
          <w:lang w:val="fr-FR"/>
        </w:rPr>
        <w:t>خالد قباني، "اجتهاد المجلس الدستوري والتحكيم الإلزامي في العقود الإدارية"، مجلة القضاء الإداري في لبنان، 2005، العدد السابع عشر، ص 19</w:t>
      </w:r>
      <w:r w:rsidR="00F41A62" w:rsidRPr="00B71FC8">
        <w:rPr>
          <w:rFonts w:ascii="Simplified Arabic" w:hAnsi="Simplified Arabic" w:cs="Simplified Arabic"/>
          <w:sz w:val="28"/>
          <w:szCs w:val="28"/>
          <w:vertAlign w:val="superscript"/>
          <w:rtl/>
          <w:lang w:bidi="ar-LB"/>
        </w:rPr>
        <w:t>)</w:t>
      </w:r>
      <w:r w:rsidR="00F41A62" w:rsidRPr="00B71FC8">
        <w:rPr>
          <w:rFonts w:ascii="Simplified Arabic" w:hAnsi="Simplified Arabic" w:cs="Simplified Arabic"/>
          <w:sz w:val="28"/>
          <w:szCs w:val="28"/>
          <w:rtl/>
          <w:lang w:bidi="ar-LB"/>
        </w:rPr>
        <w:t xml:space="preserve">،  </w:t>
      </w:r>
      <w:r w:rsidR="00285D35" w:rsidRPr="00B71FC8">
        <w:rPr>
          <w:rFonts w:ascii="Simplified Arabic" w:hAnsi="Simplified Arabic" w:cs="Simplified Arabic"/>
          <w:sz w:val="28"/>
          <w:szCs w:val="28"/>
          <w:rtl/>
          <w:lang w:bidi="ar-LB"/>
        </w:rPr>
        <w:t xml:space="preserve">بل إن المجلس الدستوري اللبناني وإن لم يرفع مبدأ خصوصية القضاء الإداري إلى مرتبة المبدأ الدستور إلا أنه قضى بالمقابل بأن </w:t>
      </w:r>
      <w:r w:rsidR="00F41A62" w:rsidRPr="00B71FC8">
        <w:rPr>
          <w:rFonts w:ascii="Simplified Arabic" w:hAnsi="Simplified Arabic" w:cs="Simplified Arabic"/>
          <w:sz w:val="28"/>
          <w:szCs w:val="28"/>
          <w:rtl/>
        </w:rPr>
        <w:t xml:space="preserve">خصوصية القضاء الاداري، فضلاً عن الاختصاص، ترتبط بعناصر متشابكة يعود بعضها الى مصدر مبادىء القانون الاداري، واخصها الاجتهاد، وقواعد القانون الاداري التي تختلف عن قواعد القانون الخاص، ويعود بعضها الآخر، الى طبيعة المنازعات التي تدخل في صلاحيات القضاء الاداري وأطرافها والامتيازات التي تتمتع بها السلطة العامة، كما يعود الى الهدف الذي تسعى الدولة الى تحقيقه، اي المصلحة العامة. </w:t>
      </w:r>
      <w:r w:rsidR="00F41A62" w:rsidRPr="00BA2167">
        <w:rPr>
          <w:rFonts w:ascii="Simplified Arabic" w:hAnsi="Simplified Arabic" w:cs="Simplified Arabic"/>
          <w:sz w:val="28"/>
          <w:szCs w:val="28"/>
          <w:rtl/>
        </w:rPr>
        <w:t>وأن مبدأ خصوصية القضاء الاداري، وان كان لا يرقى الى مرتبة المبدأ الدستوري</w:t>
      </w:r>
      <w:r w:rsidR="00285D35" w:rsidRPr="00BA2167">
        <w:rPr>
          <w:rFonts w:ascii="Simplified Arabic" w:hAnsi="Simplified Arabic" w:cs="Simplified Arabic"/>
          <w:sz w:val="28"/>
          <w:szCs w:val="28"/>
          <w:rtl/>
        </w:rPr>
        <w:t xml:space="preserve"> </w:t>
      </w:r>
      <w:r w:rsidR="00F41A62" w:rsidRPr="00BA2167">
        <w:rPr>
          <w:rFonts w:ascii="Simplified Arabic" w:hAnsi="Simplified Arabic" w:cs="Simplified Arabic"/>
          <w:sz w:val="28"/>
          <w:szCs w:val="28"/>
          <w:rtl/>
        </w:rPr>
        <w:t xml:space="preserve">على ان ذلك لا يعفي المشترع من مراعاة </w:t>
      </w:r>
      <w:r w:rsidR="00F41A62" w:rsidRPr="00BA2167">
        <w:rPr>
          <w:rFonts w:ascii="Simplified Arabic" w:hAnsi="Simplified Arabic" w:cs="Simplified Arabic"/>
          <w:sz w:val="28"/>
          <w:szCs w:val="28"/>
          <w:rtl/>
        </w:rPr>
        <w:lastRenderedPageBreak/>
        <w:t>هذا المبدأ في سن القوانين المتعلقة بالقضاء الاداري(</w:t>
      </w:r>
      <w:r w:rsidR="00285D35" w:rsidRPr="00BA2167">
        <w:rPr>
          <w:rFonts w:ascii="Simplified Arabic" w:hAnsi="Simplified Arabic" w:cs="Simplified Arabic"/>
          <w:sz w:val="28"/>
          <w:szCs w:val="28"/>
          <w:rtl/>
        </w:rPr>
        <w:t>المجلس الدستوري قرار رقم5/2000 تاريخ27/6/2000- مجموعة قرارات المجلس الدستوري 1997-2000ص 453</w:t>
      </w:r>
      <w:r w:rsidR="00F41A62" w:rsidRPr="00BA2167">
        <w:rPr>
          <w:rFonts w:ascii="Simplified Arabic" w:hAnsi="Simplified Arabic" w:cs="Simplified Arabic"/>
          <w:sz w:val="28"/>
          <w:szCs w:val="28"/>
          <w:rtl/>
        </w:rPr>
        <w:t xml:space="preserve">). </w:t>
      </w:r>
    </w:p>
    <w:p w14:paraId="41F885D0" w14:textId="68AF5E2A" w:rsidR="00611347" w:rsidRPr="00B71FC8" w:rsidRDefault="00BA2167" w:rsidP="00B71FC8">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لذا كلما سكت</w:t>
      </w:r>
      <w:r w:rsidR="00F41A62" w:rsidRPr="00B71FC8">
        <w:rPr>
          <w:rFonts w:ascii="Simplified Arabic" w:hAnsi="Simplified Arabic" w:cs="Simplified Arabic"/>
          <w:sz w:val="28"/>
          <w:szCs w:val="28"/>
          <w:rtl/>
        </w:rPr>
        <w:t xml:space="preserve"> المشترع </w:t>
      </w:r>
      <w:r w:rsidR="00285D35" w:rsidRPr="00B71FC8">
        <w:rPr>
          <w:rFonts w:ascii="Simplified Arabic" w:hAnsi="Simplified Arabic" w:cs="Simplified Arabic"/>
          <w:sz w:val="28"/>
          <w:szCs w:val="28"/>
          <w:rtl/>
        </w:rPr>
        <w:t xml:space="preserve">عن تعيين المرجع الذي تناط به صلاحية النظر في مراجعات إبطال القرارات الإدارية </w:t>
      </w:r>
      <w:r w:rsidR="00F41A62" w:rsidRPr="00B71FC8">
        <w:rPr>
          <w:rFonts w:ascii="Simplified Arabic" w:hAnsi="Simplified Arabic" w:cs="Simplified Arabic"/>
          <w:sz w:val="28"/>
          <w:szCs w:val="28"/>
          <w:rtl/>
        </w:rPr>
        <w:t>فإن</w:t>
      </w:r>
      <w:r w:rsidR="00285D35" w:rsidRPr="00B71FC8">
        <w:rPr>
          <w:rFonts w:ascii="Simplified Arabic" w:hAnsi="Simplified Arabic" w:cs="Simplified Arabic"/>
          <w:sz w:val="28"/>
          <w:szCs w:val="28"/>
          <w:rtl/>
        </w:rPr>
        <w:t xml:space="preserve"> مجلس شورى الدولة يكون صالحاً للنظر في هذه المنازعات</w:t>
      </w:r>
      <w:r w:rsidR="00F41A62" w:rsidRPr="00B71FC8">
        <w:rPr>
          <w:rFonts w:ascii="Simplified Arabic" w:hAnsi="Simplified Arabic" w:cs="Simplified Arabic"/>
          <w:sz w:val="28"/>
          <w:szCs w:val="28"/>
          <w:rtl/>
        </w:rPr>
        <w:t xml:space="preserve"> ما لم ينص قانون ما صراحة على خلاف ذلك في شأن بعض القرارات والأعمال الإدارية</w:t>
      </w:r>
      <w:r w:rsidR="00F41A62" w:rsidRPr="00B71FC8">
        <w:rPr>
          <w:rFonts w:ascii="Simplified Arabic" w:hAnsi="Simplified Arabic" w:cs="Simplified Arabic"/>
          <w:sz w:val="28"/>
          <w:szCs w:val="28"/>
          <w:vertAlign w:val="superscript"/>
          <w:rtl/>
        </w:rPr>
        <w:t xml:space="preserve"> (</w:t>
      </w:r>
      <w:r w:rsidR="00285D35" w:rsidRPr="00BA2167">
        <w:rPr>
          <w:rStyle w:val="FootnoteReference"/>
          <w:rFonts w:ascii="Simplified Arabic" w:hAnsi="Simplified Arabic" w:cs="Simplified Arabic"/>
          <w:sz w:val="28"/>
          <w:szCs w:val="28"/>
          <w:vertAlign w:val="baseline"/>
          <w:rtl/>
        </w:rPr>
        <w:t>م.ش. قرار رقم397 تاريخ17 /</w:t>
      </w:r>
      <w:r w:rsidR="00285D35" w:rsidRPr="00BA2167">
        <w:rPr>
          <w:rFonts w:ascii="Simplified Arabic" w:hAnsi="Simplified Arabic" w:cs="Simplified Arabic"/>
          <w:sz w:val="28"/>
          <w:szCs w:val="28"/>
          <w:rtl/>
        </w:rPr>
        <w:t>12/</w:t>
      </w:r>
      <w:r w:rsidR="00285D35" w:rsidRPr="00BA2167">
        <w:rPr>
          <w:rStyle w:val="FootnoteReference"/>
          <w:rFonts w:ascii="Simplified Arabic" w:hAnsi="Simplified Arabic" w:cs="Simplified Arabic"/>
          <w:sz w:val="28"/>
          <w:szCs w:val="28"/>
          <w:vertAlign w:val="baseline"/>
          <w:rtl/>
        </w:rPr>
        <w:t xml:space="preserve"> </w:t>
      </w:r>
      <w:r>
        <w:rPr>
          <w:rStyle w:val="FootnoteReference"/>
          <w:rFonts w:ascii="Simplified Arabic" w:hAnsi="Simplified Arabic" w:cs="Simplified Arabic" w:hint="cs"/>
          <w:sz w:val="28"/>
          <w:szCs w:val="28"/>
          <w:vertAlign w:val="baseline"/>
          <w:rtl/>
        </w:rPr>
        <w:t>1</w:t>
      </w:r>
      <w:r>
        <w:rPr>
          <w:rFonts w:ascii="Simplified Arabic" w:hAnsi="Simplified Arabic" w:cs="Simplified Arabic" w:hint="cs"/>
          <w:sz w:val="28"/>
          <w:szCs w:val="28"/>
          <w:rtl/>
        </w:rPr>
        <w:t>984</w:t>
      </w:r>
      <w:r w:rsidR="00285D35" w:rsidRPr="00BA2167">
        <w:rPr>
          <w:rStyle w:val="FootnoteReference"/>
          <w:rFonts w:ascii="Simplified Arabic" w:hAnsi="Simplified Arabic" w:cs="Simplified Arabic"/>
          <w:sz w:val="28"/>
          <w:szCs w:val="28"/>
          <w:vertAlign w:val="baseline"/>
          <w:rtl/>
        </w:rPr>
        <w:t xml:space="preserve">  شكري بجاني/ بلدية بيت شباب- وقائمقام المتن ووزارة الداخلية، م.ق.إ. 1985 ص321</w:t>
      </w:r>
      <w:r w:rsidR="00F41A62" w:rsidRPr="00BA2167">
        <w:rPr>
          <w:rFonts w:ascii="Simplified Arabic" w:hAnsi="Simplified Arabic" w:cs="Simplified Arabic"/>
          <w:sz w:val="28"/>
          <w:szCs w:val="28"/>
          <w:rtl/>
        </w:rPr>
        <w:t>)</w:t>
      </w:r>
      <w:r w:rsidR="00611347" w:rsidRPr="00B71FC8">
        <w:rPr>
          <w:rFonts w:ascii="Simplified Arabic" w:hAnsi="Simplified Arabic" w:cs="Simplified Arabic"/>
          <w:sz w:val="28"/>
          <w:szCs w:val="28"/>
          <w:rtl/>
          <w:lang w:bidi="ar-LB"/>
        </w:rPr>
        <w:t xml:space="preserve"> وهذا يعني أن حظر</w:t>
      </w:r>
      <w:r>
        <w:rPr>
          <w:rFonts w:ascii="Simplified Arabic" w:hAnsi="Simplified Arabic" w:cs="Simplified Arabic" w:hint="cs"/>
          <w:sz w:val="28"/>
          <w:szCs w:val="28"/>
          <w:rtl/>
          <w:lang w:bidi="ar-LB"/>
        </w:rPr>
        <w:t xml:space="preserve"> مراجعة الإبطال لتجاوز حد السلطة </w:t>
      </w:r>
      <w:r w:rsidR="00611347" w:rsidRPr="00B71FC8">
        <w:rPr>
          <w:rFonts w:ascii="Simplified Arabic" w:hAnsi="Simplified Arabic" w:cs="Simplified Arabic"/>
          <w:sz w:val="28"/>
          <w:szCs w:val="28"/>
          <w:rtl/>
          <w:lang w:bidi="ar-LB"/>
        </w:rPr>
        <w:t>لا يستنتج استنتاجاً بل يجب إيراده صراحة لما يترتب على مراجعة الإبطال هذه من نتائج تتصل بحماية قانونية الأوضاع</w:t>
      </w:r>
      <w:r>
        <w:rPr>
          <w:rFonts w:ascii="Simplified Arabic" w:hAnsi="Simplified Arabic" w:cs="Simplified Arabic" w:hint="cs"/>
          <w:sz w:val="28"/>
          <w:szCs w:val="28"/>
          <w:rtl/>
          <w:lang w:bidi="ar-LB"/>
        </w:rPr>
        <w:t xml:space="preserve"> </w:t>
      </w:r>
      <w:r w:rsidR="00611347" w:rsidRPr="00BA2167">
        <w:rPr>
          <w:rFonts w:ascii="Simplified Arabic" w:hAnsi="Simplified Arabic" w:cs="Simplified Arabic"/>
          <w:sz w:val="28"/>
          <w:szCs w:val="28"/>
          <w:rtl/>
        </w:rPr>
        <w:t>(</w:t>
      </w:r>
      <w:bookmarkStart w:id="0" w:name="_Hlk55458933"/>
      <w:r w:rsidR="00611347" w:rsidRPr="00B71FC8">
        <w:rPr>
          <w:rFonts w:ascii="Simplified Arabic" w:hAnsi="Simplified Arabic" w:cs="Simplified Arabic"/>
          <w:sz w:val="28"/>
          <w:szCs w:val="28"/>
          <w:rtl/>
        </w:rPr>
        <w:t xml:space="preserve">مجلس القضايا قرار رقم </w:t>
      </w:r>
      <w:r w:rsidR="00611347" w:rsidRPr="00B71FC8">
        <w:rPr>
          <w:rFonts w:ascii="Simplified Arabic" w:hAnsi="Simplified Arabic" w:cs="Simplified Arabic"/>
          <w:sz w:val="28"/>
          <w:szCs w:val="28"/>
          <w:rtl/>
          <w:lang w:bidi="ar-LB"/>
        </w:rPr>
        <w:t xml:space="preserve"> 526/2020-2021 </w:t>
      </w:r>
      <w:r w:rsidR="00611347" w:rsidRPr="00B71FC8">
        <w:rPr>
          <w:rFonts w:ascii="Simplified Arabic" w:hAnsi="Simplified Arabic" w:cs="Simplified Arabic"/>
          <w:sz w:val="28"/>
          <w:szCs w:val="28"/>
          <w:rtl/>
        </w:rPr>
        <w:t>تاريـخ  27/5/2021 شربل عادل فريحة</w:t>
      </w:r>
      <w:r w:rsidR="00611347" w:rsidRPr="00B71FC8">
        <w:rPr>
          <w:rFonts w:ascii="Simplified Arabic" w:hAnsi="Simplified Arabic" w:cs="Simplified Arabic"/>
          <w:sz w:val="28"/>
          <w:szCs w:val="28"/>
          <w:rtl/>
          <w:lang w:bidi="ar-LB"/>
        </w:rPr>
        <w:t>/ الدولة- وزارة العدل</w:t>
      </w:r>
      <w:bookmarkEnd w:id="0"/>
      <w:r w:rsidR="00611347" w:rsidRPr="00B71FC8">
        <w:rPr>
          <w:rFonts w:ascii="Simplified Arabic" w:hAnsi="Simplified Arabic" w:cs="Simplified Arabic"/>
          <w:sz w:val="28"/>
          <w:szCs w:val="28"/>
          <w:vertAlign w:val="superscript"/>
          <w:rtl/>
        </w:rPr>
        <w:t>)</w:t>
      </w:r>
      <w:r w:rsidR="00611347" w:rsidRPr="00B71FC8">
        <w:rPr>
          <w:rFonts w:ascii="Simplified Arabic" w:hAnsi="Simplified Arabic" w:cs="Simplified Arabic"/>
          <w:sz w:val="28"/>
          <w:szCs w:val="28"/>
          <w:rtl/>
        </w:rPr>
        <w:t>، وهذا الأمر من المسلمات في القانون الإداري منذ القرار المبدأي (</w:t>
      </w:r>
      <w:r w:rsidR="00611347" w:rsidRPr="00B71FC8">
        <w:rPr>
          <w:rFonts w:ascii="Simplified Arabic" w:hAnsi="Simplified Arabic" w:cs="Simplified Arabic"/>
          <w:sz w:val="28"/>
          <w:szCs w:val="28"/>
          <w:highlight w:val="white"/>
        </w:rPr>
        <w:t xml:space="preserve">CE, Ass., 17 </w:t>
      </w:r>
      <w:proofErr w:type="spellStart"/>
      <w:r w:rsidR="00611347" w:rsidRPr="00B71FC8">
        <w:rPr>
          <w:rFonts w:ascii="Simplified Arabic" w:hAnsi="Simplified Arabic" w:cs="Simplified Arabic"/>
          <w:sz w:val="28"/>
          <w:szCs w:val="28"/>
          <w:highlight w:val="white"/>
        </w:rPr>
        <w:t>février</w:t>
      </w:r>
      <w:proofErr w:type="spellEnd"/>
      <w:r w:rsidR="00611347" w:rsidRPr="00B71FC8">
        <w:rPr>
          <w:rFonts w:ascii="Simplified Arabic" w:hAnsi="Simplified Arabic" w:cs="Simplified Arabic"/>
          <w:sz w:val="28"/>
          <w:szCs w:val="28"/>
          <w:highlight w:val="white"/>
        </w:rPr>
        <w:t xml:space="preserve"> 1950</w:t>
      </w:r>
      <w:r w:rsidR="00611347" w:rsidRPr="00B71FC8">
        <w:rPr>
          <w:rFonts w:ascii="Simplified Arabic" w:hAnsi="Simplified Arabic" w:cs="Simplified Arabic"/>
          <w:sz w:val="28"/>
          <w:szCs w:val="28"/>
        </w:rPr>
        <w:t xml:space="preserve"> Dame </w:t>
      </w:r>
      <w:proofErr w:type="spellStart"/>
      <w:proofErr w:type="gramStart"/>
      <w:r w:rsidR="00611347" w:rsidRPr="00B71FC8">
        <w:rPr>
          <w:rFonts w:ascii="Simplified Arabic" w:hAnsi="Simplified Arabic" w:cs="Simplified Arabic"/>
          <w:sz w:val="28"/>
          <w:szCs w:val="28"/>
        </w:rPr>
        <w:t>Lamotte</w:t>
      </w:r>
      <w:proofErr w:type="spellEnd"/>
      <w:r w:rsidR="00611347" w:rsidRPr="00B71FC8">
        <w:rPr>
          <w:rFonts w:ascii="Simplified Arabic" w:hAnsi="Simplified Arabic" w:cs="Simplified Arabic"/>
          <w:sz w:val="28"/>
          <w:szCs w:val="28"/>
          <w:highlight w:val="white"/>
        </w:rPr>
        <w:t> </w:t>
      </w:r>
      <w:r w:rsidR="00611347" w:rsidRPr="00B71FC8">
        <w:rPr>
          <w:rFonts w:ascii="Simplified Arabic" w:hAnsi="Simplified Arabic" w:cs="Simplified Arabic"/>
          <w:sz w:val="28"/>
          <w:szCs w:val="28"/>
          <w:rtl/>
        </w:rPr>
        <w:t xml:space="preserve"> )</w:t>
      </w:r>
      <w:proofErr w:type="gramEnd"/>
      <w:r w:rsidR="00611347" w:rsidRPr="00B71FC8">
        <w:rPr>
          <w:rFonts w:ascii="Simplified Arabic" w:hAnsi="Simplified Arabic" w:cs="Simplified Arabic"/>
          <w:sz w:val="28"/>
          <w:szCs w:val="28"/>
          <w:rtl/>
        </w:rPr>
        <w:t>.</w:t>
      </w:r>
    </w:p>
    <w:p w14:paraId="15191AAA" w14:textId="6004B2B6" w:rsidR="009E6EBB" w:rsidRPr="00B71FC8" w:rsidRDefault="009E6EBB" w:rsidP="00B71FC8">
      <w:pPr>
        <w:bidi/>
        <w:spacing w:after="0" w:line="240" w:lineRule="auto"/>
        <w:jc w:val="both"/>
        <w:rPr>
          <w:rFonts w:ascii="Simplified Arabic" w:hAnsi="Simplified Arabic" w:cs="Simplified Arabic"/>
          <w:sz w:val="28"/>
          <w:szCs w:val="28"/>
        </w:rPr>
      </w:pPr>
      <w:r w:rsidRPr="00B71FC8">
        <w:rPr>
          <w:rFonts w:ascii="Simplified Arabic" w:hAnsi="Simplified Arabic" w:cs="Simplified Arabic"/>
          <w:sz w:val="28"/>
          <w:szCs w:val="28"/>
          <w:rtl/>
        </w:rPr>
        <w:t>بالاستناد إلى هذه المبادئ فإن إخراج المشترع في المادة 31 المذكورة من رقابة المحكمة الخاصة صلاحية النظر في إبطال ووقف تنفيذ قرارات الهيئة المصرفية العليا، لا يعني ولا يستنتج منه أن المشترع قد حصّن قرارات هذه الهيئة من الرقابة القضائية، بل يعني وفقاً لما أدلينا به أنها تبقى خاضعة لرقابة الجهة القضائية المختصة بمراجعات الإبطال لتجاوز حد السلطة أي لرقابة مجلس شورى الدولة، بخاصةٍ وأن هذا الأخير يعتبر أن اختصاص القضاء الإداري هو مبدا ذو قيمة دستورية وفق أحكام المادة 20 من الدستور (</w:t>
      </w:r>
      <w:r w:rsidRPr="00B71FC8">
        <w:rPr>
          <w:rStyle w:val="Emphasis"/>
          <w:rFonts w:ascii="Simplified Arabic" w:hAnsi="Simplified Arabic" w:cs="Simplified Arabic"/>
          <w:sz w:val="28"/>
          <w:szCs w:val="28"/>
          <w:rtl/>
        </w:rPr>
        <w:t xml:space="preserve"> م.ش. قرار رقم 638/2000-2001 تاريخ 17/7/2001 الدولة/ شركة ليبانسل، والقرار الرقم 639/2000-2001 تاريخ 17/7/2001 الدولة/شركة </w:t>
      </w:r>
      <w:r w:rsidRPr="00B71FC8">
        <w:rPr>
          <w:rStyle w:val="Emphasis"/>
          <w:rFonts w:ascii="Simplified Arabic" w:hAnsi="Simplified Arabic" w:cs="Simplified Arabic"/>
          <w:sz w:val="28"/>
          <w:szCs w:val="28"/>
        </w:rPr>
        <w:t>F.T.M.L</w:t>
      </w:r>
      <w:r w:rsidRPr="00B71FC8">
        <w:rPr>
          <w:rStyle w:val="Emphasis"/>
          <w:rFonts w:ascii="Simplified Arabic" w:hAnsi="Simplified Arabic" w:cs="Simplified Arabic"/>
          <w:sz w:val="28"/>
          <w:szCs w:val="28"/>
          <w:rtl/>
        </w:rPr>
        <w:t>.</w:t>
      </w:r>
      <w:r w:rsidRPr="00B71FC8">
        <w:rPr>
          <w:rFonts w:ascii="Simplified Arabic" w:hAnsi="Simplified Arabic" w:cs="Simplified Arabic"/>
          <w:caps/>
          <w:spacing w:val="5"/>
          <w:sz w:val="28"/>
          <w:szCs w:val="28"/>
          <w:rtl/>
        </w:rPr>
        <w:t xml:space="preserve"> </w:t>
      </w:r>
      <w:r w:rsidRPr="00B71FC8">
        <w:rPr>
          <w:rStyle w:val="Emphasis"/>
          <w:rFonts w:ascii="Simplified Arabic" w:hAnsi="Simplified Arabic" w:cs="Simplified Arabic"/>
          <w:sz w:val="28"/>
          <w:szCs w:val="28"/>
          <w:rtl/>
        </w:rPr>
        <w:t>م.ق.إ. 2004 ص 998 وص 1004).</w:t>
      </w:r>
      <w:r w:rsidRPr="00B71FC8">
        <w:rPr>
          <w:rFonts w:ascii="Simplified Arabic" w:hAnsi="Simplified Arabic" w:cs="Simplified Arabic"/>
          <w:sz w:val="28"/>
          <w:szCs w:val="28"/>
          <w:rtl/>
        </w:rPr>
        <w:t xml:space="preserve"> </w:t>
      </w:r>
    </w:p>
    <w:p w14:paraId="7F2097AA" w14:textId="10FD3954" w:rsidR="009E6EBB" w:rsidRPr="00B71FC8" w:rsidRDefault="00A211BD" w:rsidP="00B71FC8">
      <w:pPr>
        <w:bidi/>
        <w:spacing w:after="0" w:line="240" w:lineRule="auto"/>
        <w:jc w:val="both"/>
        <w:rPr>
          <w:rFonts w:ascii="Simplified Arabic" w:hAnsi="Simplified Arabic" w:cs="Simplified Arabic"/>
          <w:sz w:val="28"/>
          <w:szCs w:val="28"/>
          <w:rtl/>
          <w:lang w:bidi="ar-LB"/>
        </w:rPr>
      </w:pPr>
      <w:r w:rsidRPr="00B71FC8">
        <w:rPr>
          <w:rFonts w:ascii="Simplified Arabic" w:hAnsi="Simplified Arabic" w:cs="Simplified Arabic"/>
          <w:sz w:val="28"/>
          <w:szCs w:val="28"/>
          <w:rtl/>
          <w:lang w:bidi="ar-LB"/>
        </w:rPr>
        <w:t xml:space="preserve">ولهذا عندما أقرّ المشترع إخراج النظر بوقف تنفيذ وإبطال قرارات الهيئة المصرفية العليا عن صلاحية المحكمة الخاصة، فإنه لا يستفاد من طريقة صياغة المادة أن المشترع قرر تحصين قرارات هذه الهيئة من رقابة القضاء، ذلك أن خضوع قرارات هذه الهيئة لرقابة مجلس شورى الدولة هي مسألة تتعلق بالانتظام العام لغياب نصّ مخالف. لكن المجلس الدستوري وبدلاً من تعزيز موقف المشترع والسعي لإصدار تحفظ تفسيري </w:t>
      </w:r>
      <w:r w:rsidR="00BA2167">
        <w:rPr>
          <w:rFonts w:ascii="Simplified Arabic" w:hAnsi="Simplified Arabic" w:cs="Simplified Arabic" w:hint="cs"/>
          <w:sz w:val="28"/>
          <w:szCs w:val="28"/>
          <w:rtl/>
          <w:lang w:bidi="ar-LB"/>
        </w:rPr>
        <w:t>يعزز بمقتضاه خصوصية القضاء الإداري ومراجعة الإبطال لتجاوز حد السلطة ويقضي ب</w:t>
      </w:r>
      <w:r w:rsidRPr="00B71FC8">
        <w:rPr>
          <w:rFonts w:ascii="Simplified Arabic" w:hAnsi="Simplified Arabic" w:cs="Simplified Arabic"/>
          <w:sz w:val="28"/>
          <w:szCs w:val="28"/>
          <w:rtl/>
          <w:lang w:bidi="ar-LB"/>
        </w:rPr>
        <w:t>أن هذه القرارات</w:t>
      </w:r>
      <w:r w:rsidR="00BA2167">
        <w:rPr>
          <w:rFonts w:ascii="Simplified Arabic" w:hAnsi="Simplified Arabic" w:cs="Simplified Arabic" w:hint="cs"/>
          <w:sz w:val="28"/>
          <w:szCs w:val="28"/>
          <w:rtl/>
          <w:lang w:bidi="ar-LB"/>
        </w:rPr>
        <w:t xml:space="preserve"> التي تصدرها الهيئة المصرفية العليا تبقى</w:t>
      </w:r>
      <w:r w:rsidRPr="00B71FC8">
        <w:rPr>
          <w:rFonts w:ascii="Simplified Arabic" w:hAnsi="Simplified Arabic" w:cs="Simplified Arabic"/>
          <w:sz w:val="28"/>
          <w:szCs w:val="28"/>
          <w:rtl/>
          <w:lang w:bidi="ar-LB"/>
        </w:rPr>
        <w:t xml:space="preserve"> خاضعة لرقابة مجلس شورى الدولة توضيحاً منه لنية المشترع التي هي أصلاً لا تحتاج إلى توضيح.</w:t>
      </w:r>
    </w:p>
    <w:p w14:paraId="7F90BAFD" w14:textId="36D28F4A" w:rsidR="002E798C" w:rsidRPr="00B71FC8" w:rsidRDefault="00A211BD" w:rsidP="00B71FC8">
      <w:pPr>
        <w:bidi/>
        <w:spacing w:after="0" w:line="240" w:lineRule="auto"/>
        <w:jc w:val="both"/>
        <w:rPr>
          <w:rFonts w:ascii="Simplified Arabic" w:hAnsi="Simplified Arabic" w:cs="Simplified Arabic"/>
          <w:sz w:val="28"/>
          <w:szCs w:val="28"/>
          <w:rtl/>
        </w:rPr>
      </w:pPr>
      <w:r w:rsidRPr="00B71FC8">
        <w:rPr>
          <w:rFonts w:ascii="Simplified Arabic" w:hAnsi="Simplified Arabic" w:cs="Simplified Arabic"/>
          <w:sz w:val="28"/>
          <w:szCs w:val="28"/>
          <w:rtl/>
        </w:rPr>
        <w:t>لكن ما وجدناه أن المجلس الدستوري أخذ منحى</w:t>
      </w:r>
      <w:r w:rsidR="00BA2167">
        <w:rPr>
          <w:rFonts w:ascii="Simplified Arabic" w:hAnsi="Simplified Arabic" w:cs="Simplified Arabic" w:hint="cs"/>
          <w:sz w:val="28"/>
          <w:szCs w:val="28"/>
          <w:rtl/>
        </w:rPr>
        <w:t>ً</w:t>
      </w:r>
      <w:r w:rsidRPr="00B71FC8">
        <w:rPr>
          <w:rFonts w:ascii="Simplified Arabic" w:hAnsi="Simplified Arabic" w:cs="Simplified Arabic"/>
          <w:sz w:val="28"/>
          <w:szCs w:val="28"/>
          <w:rtl/>
        </w:rPr>
        <w:t xml:space="preserve"> مغاير</w:t>
      </w:r>
      <w:r w:rsidR="00BA2167">
        <w:rPr>
          <w:rFonts w:ascii="Simplified Arabic" w:hAnsi="Simplified Arabic" w:cs="Simplified Arabic" w:hint="cs"/>
          <w:sz w:val="28"/>
          <w:szCs w:val="28"/>
          <w:rtl/>
        </w:rPr>
        <w:t>اً</w:t>
      </w:r>
      <w:r w:rsidRPr="00B71FC8">
        <w:rPr>
          <w:rFonts w:ascii="Simplified Arabic" w:hAnsi="Simplified Arabic" w:cs="Simplified Arabic"/>
          <w:sz w:val="28"/>
          <w:szCs w:val="28"/>
          <w:rtl/>
        </w:rPr>
        <w:t xml:space="preserve">، </w:t>
      </w:r>
      <w:r w:rsidR="009A690B" w:rsidRPr="00B71FC8">
        <w:rPr>
          <w:rFonts w:ascii="Simplified Arabic" w:hAnsi="Simplified Arabic" w:cs="Simplified Arabic"/>
          <w:sz w:val="28"/>
          <w:szCs w:val="28"/>
          <w:rtl/>
          <w:lang w:bidi="ar-LB"/>
        </w:rPr>
        <w:t xml:space="preserve">إذ </w:t>
      </w:r>
      <w:r w:rsidRPr="00B71FC8">
        <w:rPr>
          <w:rFonts w:ascii="Simplified Arabic" w:hAnsi="Simplified Arabic" w:cs="Simplified Arabic"/>
          <w:sz w:val="28"/>
          <w:szCs w:val="28"/>
          <w:rtl/>
        </w:rPr>
        <w:t xml:space="preserve">بعد أن </w:t>
      </w:r>
      <w:r w:rsidR="00751394" w:rsidRPr="00B71FC8">
        <w:rPr>
          <w:rFonts w:ascii="Simplified Arabic" w:hAnsi="Simplified Arabic" w:cs="Simplified Arabic"/>
          <w:sz w:val="28"/>
          <w:szCs w:val="28"/>
          <w:rtl/>
          <w:lang w:bidi="ar-LB"/>
        </w:rPr>
        <w:t xml:space="preserve">حدّد طبيعة </w:t>
      </w:r>
      <w:r w:rsidR="00A94BAA" w:rsidRPr="00B71FC8">
        <w:rPr>
          <w:rFonts w:ascii="Simplified Arabic" w:hAnsi="Simplified Arabic" w:cs="Simplified Arabic"/>
          <w:sz w:val="28"/>
          <w:szCs w:val="28"/>
          <w:rtl/>
        </w:rPr>
        <w:t xml:space="preserve">الهيئة المصرفية العليا  </w:t>
      </w:r>
      <w:r w:rsidR="00751394" w:rsidRPr="00B71FC8">
        <w:rPr>
          <w:rFonts w:ascii="Simplified Arabic" w:hAnsi="Simplified Arabic" w:cs="Simplified Arabic"/>
          <w:sz w:val="28"/>
          <w:szCs w:val="28"/>
          <w:rtl/>
        </w:rPr>
        <w:t>ب</w:t>
      </w:r>
      <w:r w:rsidR="00A94BAA" w:rsidRPr="00B71FC8">
        <w:rPr>
          <w:rFonts w:ascii="Simplified Arabic" w:hAnsi="Simplified Arabic" w:cs="Simplified Arabic"/>
          <w:sz w:val="28"/>
          <w:szCs w:val="28"/>
          <w:rtl/>
        </w:rPr>
        <w:t>أنها من نوع الهيئات الادارية المستقلّة</w:t>
      </w:r>
      <w:r w:rsidR="00A94BAA" w:rsidRPr="00B71FC8">
        <w:rPr>
          <w:rFonts w:ascii="Simplified Arabic" w:hAnsi="Simplified Arabic" w:cs="Simplified Arabic"/>
          <w:sz w:val="28"/>
          <w:szCs w:val="28"/>
        </w:rPr>
        <w:t xml:space="preserve"> </w:t>
      </w:r>
      <w:proofErr w:type="spellStart"/>
      <w:r w:rsidR="00A94BAA" w:rsidRPr="00B71FC8">
        <w:rPr>
          <w:rFonts w:ascii="Simplified Arabic" w:hAnsi="Simplified Arabic" w:cs="Simplified Arabic"/>
          <w:sz w:val="28"/>
          <w:szCs w:val="28"/>
        </w:rPr>
        <w:t>Autorité</w:t>
      </w:r>
      <w:proofErr w:type="spellEnd"/>
      <w:r w:rsidR="00A94BAA" w:rsidRPr="00B71FC8">
        <w:rPr>
          <w:rFonts w:ascii="Simplified Arabic" w:hAnsi="Simplified Arabic" w:cs="Simplified Arabic"/>
          <w:sz w:val="28"/>
          <w:szCs w:val="28"/>
        </w:rPr>
        <w:t xml:space="preserve"> administrative </w:t>
      </w:r>
      <w:proofErr w:type="spellStart"/>
      <w:r w:rsidR="00A94BAA" w:rsidRPr="00B71FC8">
        <w:rPr>
          <w:rFonts w:ascii="Simplified Arabic" w:hAnsi="Simplified Arabic" w:cs="Simplified Arabic"/>
          <w:sz w:val="28"/>
          <w:szCs w:val="28"/>
        </w:rPr>
        <w:t>indépendante</w:t>
      </w:r>
      <w:proofErr w:type="spellEnd"/>
      <w:r w:rsidR="00A94BAA" w:rsidRPr="00B71FC8">
        <w:rPr>
          <w:rFonts w:ascii="Simplified Arabic" w:hAnsi="Simplified Arabic" w:cs="Simplified Arabic"/>
          <w:sz w:val="28"/>
          <w:szCs w:val="28"/>
        </w:rPr>
        <w:t xml:space="preserve"> </w:t>
      </w:r>
      <w:r w:rsidR="00A94BAA" w:rsidRPr="00B71FC8">
        <w:rPr>
          <w:rFonts w:ascii="Simplified Arabic" w:hAnsi="Simplified Arabic" w:cs="Simplified Arabic"/>
          <w:sz w:val="28"/>
          <w:szCs w:val="28"/>
          <w:rtl/>
        </w:rPr>
        <w:t>لأنه يترأسها حاكم مصرف لبنان في غرفتيها، و</w:t>
      </w:r>
      <w:r w:rsidR="009A690B" w:rsidRPr="00B71FC8">
        <w:rPr>
          <w:rFonts w:ascii="Simplified Arabic" w:hAnsi="Simplified Arabic" w:cs="Simplified Arabic"/>
          <w:sz w:val="28"/>
          <w:szCs w:val="28"/>
          <w:rtl/>
        </w:rPr>
        <w:t>ت</w:t>
      </w:r>
      <w:r w:rsidR="00A94BAA" w:rsidRPr="00B71FC8">
        <w:rPr>
          <w:rFonts w:ascii="Simplified Arabic" w:hAnsi="Simplified Arabic" w:cs="Simplified Arabic"/>
          <w:sz w:val="28"/>
          <w:szCs w:val="28"/>
          <w:rtl/>
        </w:rPr>
        <w:t>مارس بشكل أساسي لمهام تنظيمية وتقريرية، فضلاً عن غياب الأصول الوجاهية وحقوق الدفاع أمامها، ما ينفي الطابع القضائي عن أعمالها، وكل ذلك اضافةً الى عنصر جوهري هو امكان الطعن بقراراتها أمام مرجع قضائي مستقل وهو المحكمة الخاصة في بيروت</w:t>
      </w:r>
      <w:r w:rsidR="002E798C" w:rsidRPr="00B71FC8">
        <w:rPr>
          <w:rFonts w:ascii="Simplified Arabic" w:hAnsi="Simplified Arabic" w:cs="Simplified Arabic"/>
          <w:sz w:val="28"/>
          <w:szCs w:val="28"/>
          <w:rtl/>
        </w:rPr>
        <w:t>.</w:t>
      </w:r>
    </w:p>
    <w:p w14:paraId="307E61B9" w14:textId="2A5B177D" w:rsidR="00A94BAA" w:rsidRDefault="002E798C" w:rsidP="00B71FC8">
      <w:pPr>
        <w:bidi/>
        <w:spacing w:after="0" w:line="240" w:lineRule="auto"/>
        <w:jc w:val="both"/>
        <w:rPr>
          <w:rFonts w:ascii="Simplified Arabic" w:hAnsi="Simplified Arabic" w:cs="Simplified Arabic"/>
          <w:sz w:val="28"/>
          <w:szCs w:val="28"/>
          <w:rtl/>
        </w:rPr>
      </w:pPr>
      <w:r w:rsidRPr="00B71FC8">
        <w:rPr>
          <w:rFonts w:ascii="Simplified Arabic" w:hAnsi="Simplified Arabic" w:cs="Simplified Arabic"/>
          <w:sz w:val="28"/>
          <w:szCs w:val="28"/>
          <w:rtl/>
        </w:rPr>
        <w:lastRenderedPageBreak/>
        <w:t xml:space="preserve">إن هذه المقدمة التي انطلق منها المجلس الدستوري </w:t>
      </w:r>
      <w:r w:rsidR="00BA2167">
        <w:rPr>
          <w:rFonts w:ascii="Simplified Arabic" w:hAnsi="Simplified Arabic" w:cs="Simplified Arabic" w:hint="cs"/>
          <w:sz w:val="28"/>
          <w:szCs w:val="28"/>
          <w:rtl/>
        </w:rPr>
        <w:t>هي مقدمة غير مكتملة إذ ا</w:t>
      </w:r>
      <w:r w:rsidRPr="00B71FC8">
        <w:rPr>
          <w:rFonts w:ascii="Simplified Arabic" w:hAnsi="Simplified Arabic" w:cs="Simplified Arabic"/>
          <w:sz w:val="28"/>
          <w:szCs w:val="28"/>
          <w:rtl/>
        </w:rPr>
        <w:t xml:space="preserve">عتقد </w:t>
      </w:r>
      <w:r w:rsidR="009A690B" w:rsidRPr="00B71FC8">
        <w:rPr>
          <w:rFonts w:ascii="Simplified Arabic" w:hAnsi="Simplified Arabic" w:cs="Simplified Arabic"/>
          <w:sz w:val="28"/>
          <w:szCs w:val="28"/>
          <w:rtl/>
        </w:rPr>
        <w:t xml:space="preserve">أن الرقابة القضائية الوحيدة التي تخضع لها الهيئة المصرفية العليا هي رقابة المحكمة الخاصة في بيروت، متجاهلاً أن الهيئة التي وصفها بأنها هيئة إدارية مستقلة وما يستتبعه ذلك من خضوع قراراتها حكماً لرقابة قاضي الإبطال لتجاوز حد السلطة، هذه المقدمة </w:t>
      </w:r>
      <w:r w:rsidR="00BA2167">
        <w:rPr>
          <w:rFonts w:ascii="Simplified Arabic" w:hAnsi="Simplified Arabic" w:cs="Simplified Arabic" w:hint="cs"/>
          <w:sz w:val="28"/>
          <w:szCs w:val="28"/>
          <w:rtl/>
        </w:rPr>
        <w:t xml:space="preserve">غير المكتملة </w:t>
      </w:r>
      <w:r w:rsidR="009A690B" w:rsidRPr="00B71FC8">
        <w:rPr>
          <w:rFonts w:ascii="Simplified Arabic" w:hAnsi="Simplified Arabic" w:cs="Simplified Arabic"/>
          <w:sz w:val="28"/>
          <w:szCs w:val="28"/>
          <w:rtl/>
        </w:rPr>
        <w:t xml:space="preserve">أوصلته إلى نتيجة مفادها أن المشترع قد حجب صلاحية المحكمة الخاصة في بيروت بوقف تنفيذ وإبطال قرارات الهيئة المصرفية العليا  وانتهى إلى اعتبار </w:t>
      </w:r>
      <w:r w:rsidR="00A94BAA" w:rsidRPr="00B71FC8">
        <w:rPr>
          <w:rFonts w:ascii="Simplified Arabic" w:hAnsi="Simplified Arabic" w:cs="Simplified Arabic"/>
          <w:sz w:val="28"/>
          <w:szCs w:val="28"/>
          <w:rtl/>
        </w:rPr>
        <w:t xml:space="preserve">أنّ الحد من حق التقاضي بالطريقة التي ورد فيها في المادة 31 من القانون المطعون فيه بعدم الاجازة للمحكمة وقف تنفيذ القرار المطعون فيه أو إبطاله وحصر صلاحياتها بالحكم بالتعويضات المالية دون غيرها من المطالب يشكل انتقاصاً من الضمانات التي أوجبت المادة 20 من الدستور حفظها للمتقاضين، ويتعارض مع أحكام الدستور ومع المبادئ ذات القيمة الدستورية، </w:t>
      </w:r>
      <w:r w:rsidR="00BA2167">
        <w:rPr>
          <w:rFonts w:ascii="Simplified Arabic" w:hAnsi="Simplified Arabic" w:cs="Simplified Arabic" w:hint="cs"/>
          <w:sz w:val="28"/>
          <w:szCs w:val="28"/>
          <w:rtl/>
        </w:rPr>
        <w:t>وقضى تبعاً لذلك ب</w:t>
      </w:r>
      <w:r w:rsidR="00A94BAA" w:rsidRPr="00B71FC8">
        <w:rPr>
          <w:rFonts w:ascii="Simplified Arabic" w:hAnsi="Simplified Arabic" w:cs="Simplified Arabic"/>
          <w:sz w:val="28"/>
          <w:szCs w:val="28"/>
          <w:rtl/>
        </w:rPr>
        <w:t>ابطال العبارة الواردة في ذيل المادة 31 المذكورة وهي العبارة الآتية: لا</w:t>
      </w:r>
      <w:r w:rsidR="00A94BAA" w:rsidRPr="00B71FC8">
        <w:rPr>
          <w:rFonts w:ascii="Simplified Arabic" w:hAnsi="Simplified Arabic" w:cs="Simplified Arabic"/>
          <w:sz w:val="28"/>
          <w:szCs w:val="28"/>
          <w:rtl/>
          <w:lang w:bidi="ar-LB"/>
        </w:rPr>
        <w:t xml:space="preserve"> </w:t>
      </w:r>
      <w:r w:rsidR="00A94BAA" w:rsidRPr="00B71FC8">
        <w:rPr>
          <w:rFonts w:ascii="Simplified Arabic" w:hAnsi="Simplified Arabic" w:cs="Simplified Arabic"/>
          <w:sz w:val="28"/>
          <w:szCs w:val="28"/>
          <w:rtl/>
        </w:rPr>
        <w:t>يوقف الطعن أمام المحكمة المختصة تنفيذ القرار المطعون فيه ولا يبطل القرارات المتخذة سابقاً من الهيئة</w:t>
      </w:r>
      <w:r w:rsidR="00A94BAA" w:rsidRPr="00B71FC8">
        <w:rPr>
          <w:rFonts w:ascii="Simplified Arabic" w:hAnsi="Simplified Arabic" w:cs="Simplified Arabic"/>
          <w:sz w:val="28"/>
          <w:szCs w:val="28"/>
          <w:rtl/>
          <w:lang w:bidi="ar-LB"/>
        </w:rPr>
        <w:t xml:space="preserve"> </w:t>
      </w:r>
      <w:r w:rsidR="00A94BAA" w:rsidRPr="00B71FC8">
        <w:rPr>
          <w:rFonts w:ascii="Simplified Arabic" w:hAnsi="Simplified Arabic" w:cs="Simplified Arabic"/>
          <w:sz w:val="28"/>
          <w:szCs w:val="28"/>
          <w:rtl/>
        </w:rPr>
        <w:t>المصرفية العليا - الغرفة الثانية</w:t>
      </w:r>
      <w:r w:rsidR="00B71FC8" w:rsidRPr="00B71FC8">
        <w:rPr>
          <w:rFonts w:ascii="Simplified Arabic" w:hAnsi="Simplified Arabic" w:cs="Simplified Arabic"/>
          <w:kern w:val="0"/>
          <w:sz w:val="28"/>
          <w:szCs w:val="28"/>
          <w:rtl/>
        </w:rPr>
        <w:t xml:space="preserve"> وتقتصر الأحكام الصادرة عن المحكمة الخاصة في هذا الشأن على تحديد</w:t>
      </w:r>
      <w:r w:rsidR="00B71FC8" w:rsidRPr="00B71FC8">
        <w:rPr>
          <w:rFonts w:ascii="Simplified Arabic" w:hAnsi="Simplified Arabic" w:cs="Simplified Arabic"/>
          <w:kern w:val="0"/>
          <w:sz w:val="28"/>
          <w:szCs w:val="28"/>
          <w:rtl/>
          <w:lang w:bidi="ar-LB"/>
        </w:rPr>
        <w:t xml:space="preserve"> </w:t>
      </w:r>
      <w:r w:rsidR="00B71FC8" w:rsidRPr="00B71FC8">
        <w:rPr>
          <w:rFonts w:ascii="Simplified Arabic" w:hAnsi="Simplified Arabic" w:cs="Simplified Arabic"/>
          <w:kern w:val="0"/>
          <w:sz w:val="28"/>
          <w:szCs w:val="28"/>
          <w:rtl/>
        </w:rPr>
        <w:t>التعويضات المالية</w:t>
      </w:r>
      <w:r w:rsidR="00B71FC8" w:rsidRPr="00B71FC8">
        <w:rPr>
          <w:rFonts w:ascii="Simplified Arabic" w:hAnsi="Simplified Arabic" w:cs="Simplified Arabic"/>
          <w:sz w:val="28"/>
          <w:szCs w:val="28"/>
          <w:rtl/>
        </w:rPr>
        <w:t>"</w:t>
      </w:r>
      <w:r w:rsidR="00A94BAA" w:rsidRPr="00B71FC8">
        <w:rPr>
          <w:rFonts w:ascii="Simplified Arabic" w:hAnsi="Simplified Arabic" w:cs="Simplified Arabic"/>
          <w:sz w:val="28"/>
          <w:szCs w:val="28"/>
          <w:rtl/>
        </w:rPr>
        <w:t xml:space="preserve"> </w:t>
      </w:r>
      <w:r w:rsidR="00A94BAA" w:rsidRPr="00B71FC8">
        <w:rPr>
          <w:rFonts w:ascii="Simplified Arabic" w:hAnsi="Simplified Arabic" w:cs="Simplified Arabic"/>
          <w:sz w:val="28"/>
          <w:szCs w:val="28"/>
        </w:rPr>
        <w:t> </w:t>
      </w:r>
      <w:r w:rsidR="00A94BAA" w:rsidRPr="00B71FC8">
        <w:rPr>
          <w:rFonts w:ascii="Simplified Arabic" w:hAnsi="Simplified Arabic" w:cs="Simplified Arabic"/>
          <w:sz w:val="28"/>
          <w:szCs w:val="28"/>
          <w:rtl/>
        </w:rPr>
        <w:t>وأبقى هذا الحكم على الفقرة الآتية من المادة 31: تقبل جميع القرارات الصادرة عن الهيئة المصرفية العليا الطعن أمام المحكمة الخاصة المنشأة بموجب</w:t>
      </w:r>
      <w:r w:rsidR="00A94BAA" w:rsidRPr="00B71FC8">
        <w:rPr>
          <w:rFonts w:ascii="Simplified Arabic" w:hAnsi="Simplified Arabic" w:cs="Simplified Arabic"/>
          <w:sz w:val="28"/>
          <w:szCs w:val="28"/>
        </w:rPr>
        <w:t xml:space="preserve"> </w:t>
      </w:r>
      <w:r w:rsidR="00A94BAA" w:rsidRPr="00B71FC8">
        <w:rPr>
          <w:rFonts w:ascii="Simplified Arabic" w:hAnsi="Simplified Arabic" w:cs="Simplified Arabic"/>
          <w:sz w:val="28"/>
          <w:szCs w:val="28"/>
          <w:rtl/>
        </w:rPr>
        <w:t>القانون رقم 110 تاريخ 11/7/1991 وتتبع أصول المحاكمات المدنية المتعلقة بمحكمة الدرجة الأولى</w:t>
      </w:r>
      <w:r w:rsidR="00A94BAA" w:rsidRPr="00BA2167">
        <w:rPr>
          <w:rFonts w:ascii="Simplified Arabic" w:hAnsi="Simplified Arabic" w:cs="Simplified Arabic"/>
          <w:sz w:val="28"/>
          <w:szCs w:val="28"/>
          <w:rtl/>
        </w:rPr>
        <w:t>(</w:t>
      </w:r>
      <w:r w:rsidR="00B71FC8" w:rsidRPr="00BA2167">
        <w:rPr>
          <w:rFonts w:ascii="Simplified Arabic" w:hAnsi="Simplified Arabic" w:cs="Simplified Arabic"/>
          <w:sz w:val="28"/>
          <w:szCs w:val="28"/>
          <w:rtl/>
        </w:rPr>
        <w:t>المجلس الدستوري قرار رقم 16/2025 تاريخ 3/10/2025</w:t>
      </w:r>
      <w:r w:rsidR="00A94BAA" w:rsidRPr="00BA2167">
        <w:rPr>
          <w:rFonts w:ascii="Simplified Arabic" w:hAnsi="Simplified Arabic" w:cs="Simplified Arabic"/>
          <w:sz w:val="28"/>
          <w:szCs w:val="28"/>
          <w:rtl/>
        </w:rPr>
        <w:t>)</w:t>
      </w:r>
      <w:r w:rsidR="00A94BAA" w:rsidRPr="00B71FC8">
        <w:rPr>
          <w:rFonts w:ascii="Simplified Arabic" w:hAnsi="Simplified Arabic" w:cs="Simplified Arabic"/>
          <w:sz w:val="28"/>
          <w:szCs w:val="28"/>
          <w:rtl/>
        </w:rPr>
        <w:t>.</w:t>
      </w:r>
    </w:p>
    <w:p w14:paraId="491ED6F8" w14:textId="77777777" w:rsidR="00BA2167" w:rsidRDefault="00B71FC8" w:rsidP="00B71FC8">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بحسب الحيثية والفقرة الحكمية الواردة في قرار المجلس الدستوري، فإن هذا المجلس ظّن بأن مجلس النواب حصّن قرارات الهيئة المصرفية العليا من طعن الإبطال لتجاوز حد السلطة وهو أمر غير وارد لا صراحة ولا ضمناً في هذا القانون، ورتّب نتيجة على ذلك من خلال منح صلاحية إبطال قرارات هذه الهيئة المصرفية إلى المحكمة الخاصة في بيروت بالرغم من وجود قضاء خاص للنظر في إبطال القرارات الإدارية وهو مجلس شورى الدولة</w:t>
      </w:r>
      <w:r w:rsidR="00BA2167">
        <w:rPr>
          <w:rFonts w:ascii="Simplified Arabic" w:hAnsi="Simplified Arabic" w:cs="Simplified Arabic" w:hint="cs"/>
          <w:sz w:val="28"/>
          <w:szCs w:val="28"/>
          <w:rtl/>
        </w:rPr>
        <w:t>.</w:t>
      </w:r>
    </w:p>
    <w:p w14:paraId="79D52A53" w14:textId="2C9C4625" w:rsidR="00B71FC8" w:rsidRDefault="00B71FC8" w:rsidP="00BA2167">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ويكون المجلس الدستوري </w:t>
      </w:r>
      <w:r w:rsidR="00BA2167">
        <w:rPr>
          <w:rFonts w:ascii="Simplified Arabic" w:hAnsi="Simplified Arabic" w:cs="Simplified Arabic" w:hint="cs"/>
          <w:sz w:val="28"/>
          <w:szCs w:val="28"/>
          <w:rtl/>
        </w:rPr>
        <w:t xml:space="preserve">بهذا الحكم </w:t>
      </w:r>
      <w:r>
        <w:rPr>
          <w:rFonts w:ascii="Simplified Arabic" w:hAnsi="Simplified Arabic" w:cs="Simplified Arabic" w:hint="cs"/>
          <w:sz w:val="28"/>
          <w:szCs w:val="28"/>
          <w:rtl/>
        </w:rPr>
        <w:t xml:space="preserve">قد شرّع </w:t>
      </w:r>
      <w:r w:rsidR="00BA2167">
        <w:rPr>
          <w:rFonts w:ascii="Simplified Arabic" w:hAnsi="Simplified Arabic" w:cs="Simplified Arabic" w:hint="cs"/>
          <w:sz w:val="28"/>
          <w:szCs w:val="28"/>
          <w:rtl/>
        </w:rPr>
        <w:t>أمراً</w:t>
      </w:r>
      <w:r>
        <w:rPr>
          <w:rFonts w:ascii="Simplified Arabic" w:hAnsi="Simplified Arabic" w:cs="Simplified Arabic" w:hint="cs"/>
          <w:sz w:val="28"/>
          <w:szCs w:val="28"/>
          <w:rtl/>
        </w:rPr>
        <w:t xml:space="preserve"> يخالف الانتظام العام ونية المشترع وبدّل قواعد الاختصاص بين المحاكم بدون أن يملك دستورياً هذه الصلاحية. </w:t>
      </w:r>
    </w:p>
    <w:p w14:paraId="516106DF" w14:textId="3D716007" w:rsidR="00B71FC8" w:rsidRPr="00B71FC8" w:rsidRDefault="00B71FC8" w:rsidP="00B71FC8">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وهذا ما يدفع لاعتبار أن ما قضى به المجلس الدستوري لهذه الناحية غير ملزمٍ لمجلس شورى الدولة بحيث أنه إذا وردت مراجعة طعن إبطال لتجاوز حدّ السلطة ضدّ قرارات صادرة عن الهيئة المصرفية العليا فإن</w:t>
      </w:r>
      <w:r w:rsidR="00BA2167">
        <w:rPr>
          <w:rFonts w:ascii="Simplified Arabic" w:hAnsi="Simplified Arabic" w:cs="Simplified Arabic" w:hint="cs"/>
          <w:sz w:val="28"/>
          <w:szCs w:val="28"/>
          <w:rtl/>
        </w:rPr>
        <w:t xml:space="preserve"> مجلس شورى الدولة</w:t>
      </w:r>
      <w:r>
        <w:rPr>
          <w:rFonts w:ascii="Simplified Arabic" w:hAnsi="Simplified Arabic" w:cs="Simplified Arabic" w:hint="cs"/>
          <w:sz w:val="28"/>
          <w:szCs w:val="28"/>
          <w:rtl/>
        </w:rPr>
        <w:t xml:space="preserve"> لن يتردد بقبول هذه المراجعة التزاماً بقواعد الصلاحية وبالنص التشريعي الصادر عن مجلس النواب الذي لم يحجب عن هذا المجلس ممارسة هذا الاختصاص، وكل ذلك بمعزلٍ عن القرار الصادر عن المجلس الدستوري المتعلق بهذه المسألة.</w:t>
      </w:r>
    </w:p>
    <w:p w14:paraId="7C7F08B7" w14:textId="77777777" w:rsidR="00A94BAA" w:rsidRPr="000147DB" w:rsidRDefault="00A94BAA" w:rsidP="000147DB">
      <w:pPr>
        <w:bidi/>
        <w:jc w:val="both"/>
        <w:rPr>
          <w:rFonts w:ascii="Simplified Arabic" w:hAnsi="Simplified Arabic" w:cs="Simplified Arabic"/>
          <w:sz w:val="28"/>
          <w:szCs w:val="28"/>
          <w:highlight w:val="cyan"/>
        </w:rPr>
      </w:pPr>
    </w:p>
    <w:p w14:paraId="1FCB14E5" w14:textId="77777777" w:rsidR="00630AB9" w:rsidRPr="000147DB" w:rsidRDefault="00630AB9" w:rsidP="000147DB">
      <w:pPr>
        <w:pStyle w:val="NormalWeb"/>
        <w:shd w:val="clear" w:color="auto" w:fill="FFFFFF"/>
        <w:bidi/>
        <w:spacing w:before="0" w:beforeAutospacing="0" w:after="225" w:afterAutospacing="0"/>
        <w:jc w:val="both"/>
        <w:rPr>
          <w:rFonts w:ascii="Simplified Arabic" w:hAnsi="Simplified Arabic" w:cs="Simplified Arabic"/>
          <w:color w:val="800000"/>
          <w:sz w:val="28"/>
          <w:szCs w:val="28"/>
          <w:rtl/>
          <w:lang w:bidi="ar-LB"/>
        </w:rPr>
      </w:pPr>
    </w:p>
    <w:p w14:paraId="47DB44D8" w14:textId="77777777" w:rsidR="00630AB9" w:rsidRPr="000147DB" w:rsidRDefault="00630AB9" w:rsidP="000147DB">
      <w:pPr>
        <w:pStyle w:val="NormalWeb"/>
        <w:shd w:val="clear" w:color="auto" w:fill="FFFFFF"/>
        <w:bidi/>
        <w:spacing w:before="0" w:beforeAutospacing="0" w:after="225" w:afterAutospacing="0"/>
        <w:jc w:val="both"/>
        <w:rPr>
          <w:rFonts w:ascii="Simplified Arabic" w:hAnsi="Simplified Arabic" w:cs="Simplified Arabic"/>
          <w:color w:val="800000"/>
          <w:sz w:val="28"/>
          <w:szCs w:val="28"/>
          <w:rtl/>
        </w:rPr>
      </w:pPr>
    </w:p>
    <w:p w14:paraId="36D0FFCA" w14:textId="77777777" w:rsidR="00630AB9" w:rsidRPr="000147DB" w:rsidRDefault="00630AB9" w:rsidP="000147DB">
      <w:pPr>
        <w:pStyle w:val="NormalWeb"/>
        <w:shd w:val="clear" w:color="auto" w:fill="FFFFFF"/>
        <w:bidi/>
        <w:spacing w:before="0" w:beforeAutospacing="0" w:after="225" w:afterAutospacing="0"/>
        <w:jc w:val="both"/>
        <w:rPr>
          <w:rFonts w:ascii="Simplified Arabic" w:hAnsi="Simplified Arabic" w:cs="Simplified Arabic"/>
          <w:color w:val="800000"/>
          <w:sz w:val="28"/>
          <w:szCs w:val="28"/>
          <w:rtl/>
        </w:rPr>
      </w:pPr>
    </w:p>
    <w:p w14:paraId="76562627" w14:textId="77777777" w:rsidR="00630AB9" w:rsidRPr="000147DB" w:rsidRDefault="00630AB9" w:rsidP="000147DB">
      <w:pPr>
        <w:pStyle w:val="NormalWeb"/>
        <w:shd w:val="clear" w:color="auto" w:fill="FFFFFF"/>
        <w:bidi/>
        <w:spacing w:before="0" w:beforeAutospacing="0" w:after="225" w:afterAutospacing="0"/>
        <w:jc w:val="both"/>
        <w:rPr>
          <w:rFonts w:ascii="Simplified Arabic" w:hAnsi="Simplified Arabic" w:cs="Simplified Arabic"/>
          <w:color w:val="800000"/>
          <w:sz w:val="28"/>
          <w:szCs w:val="28"/>
          <w:rtl/>
        </w:rPr>
      </w:pPr>
    </w:p>
    <w:p w14:paraId="73172714" w14:textId="11591321" w:rsidR="00630AB9" w:rsidRPr="000147DB" w:rsidRDefault="00285D35" w:rsidP="000147DB">
      <w:pPr>
        <w:bidi/>
        <w:jc w:val="both"/>
        <w:rPr>
          <w:rFonts w:ascii="Simplified Arabic" w:hAnsi="Simplified Arabic" w:cs="Simplified Arabic"/>
          <w:sz w:val="28"/>
          <w:szCs w:val="28"/>
          <w:rtl/>
        </w:rPr>
      </w:pPr>
      <w:r w:rsidRPr="000147DB">
        <w:rPr>
          <w:rFonts w:ascii="Simplified Arabic" w:hAnsi="Simplified Arabic" w:cs="Simplified Arabic"/>
          <w:sz w:val="28"/>
          <w:szCs w:val="28"/>
          <w:rtl/>
        </w:rPr>
        <w:t xml:space="preserve"> </w:t>
      </w:r>
    </w:p>
    <w:p w14:paraId="1B3F560E" w14:textId="77777777" w:rsidR="00630AB9" w:rsidRPr="000147DB" w:rsidRDefault="00630AB9" w:rsidP="000147DB">
      <w:pPr>
        <w:pStyle w:val="NormalWeb"/>
        <w:shd w:val="clear" w:color="auto" w:fill="FFFFFF"/>
        <w:bidi/>
        <w:spacing w:before="0" w:beforeAutospacing="0" w:after="225" w:afterAutospacing="0"/>
        <w:jc w:val="both"/>
        <w:rPr>
          <w:rFonts w:ascii="Simplified Arabic" w:hAnsi="Simplified Arabic" w:cs="Simplified Arabic"/>
          <w:color w:val="800000"/>
          <w:sz w:val="28"/>
          <w:szCs w:val="28"/>
          <w:rtl/>
        </w:rPr>
      </w:pPr>
    </w:p>
    <w:p w14:paraId="1F412AD1" w14:textId="77777777" w:rsidR="004416C8" w:rsidRPr="000147DB" w:rsidRDefault="004416C8" w:rsidP="000147DB">
      <w:pPr>
        <w:bidi/>
        <w:jc w:val="both"/>
        <w:rPr>
          <w:rFonts w:ascii="Simplified Arabic" w:hAnsi="Simplified Arabic" w:cs="Simplified Arabic"/>
          <w:sz w:val="28"/>
          <w:szCs w:val="28"/>
        </w:rPr>
      </w:pPr>
    </w:p>
    <w:sectPr w:rsidR="004416C8" w:rsidRPr="000147DB" w:rsidSect="00C621D6">
      <w:pgSz w:w="11906" w:h="16838" w:code="9"/>
      <w:pgMar w:top="153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A535" w14:textId="77777777" w:rsidR="00E73026" w:rsidRDefault="00E73026" w:rsidP="00EA239B">
      <w:pPr>
        <w:spacing w:after="0" w:line="240" w:lineRule="auto"/>
      </w:pPr>
      <w:r>
        <w:separator/>
      </w:r>
    </w:p>
  </w:endnote>
  <w:endnote w:type="continuationSeparator" w:id="0">
    <w:p w14:paraId="5CE3C0AE" w14:textId="77777777" w:rsidR="00E73026" w:rsidRDefault="00E73026" w:rsidP="00EA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C55D" w14:textId="77777777" w:rsidR="00E73026" w:rsidRDefault="00E73026" w:rsidP="00EA239B">
      <w:pPr>
        <w:spacing w:after="0" w:line="240" w:lineRule="auto"/>
      </w:pPr>
      <w:r>
        <w:separator/>
      </w:r>
    </w:p>
  </w:footnote>
  <w:footnote w:type="continuationSeparator" w:id="0">
    <w:p w14:paraId="35F1D0BC" w14:textId="77777777" w:rsidR="00E73026" w:rsidRDefault="00E73026" w:rsidP="00EA2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55C20"/>
    <w:multiLevelType w:val="hybridMultilevel"/>
    <w:tmpl w:val="26E809D8"/>
    <w:lvl w:ilvl="0" w:tplc="E670FB7A">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9B"/>
    <w:rsid w:val="000147DB"/>
    <w:rsid w:val="000536EE"/>
    <w:rsid w:val="000D1983"/>
    <w:rsid w:val="000D1FAA"/>
    <w:rsid w:val="00242BB9"/>
    <w:rsid w:val="00285D35"/>
    <w:rsid w:val="002E798C"/>
    <w:rsid w:val="004416C8"/>
    <w:rsid w:val="00492686"/>
    <w:rsid w:val="00565DBE"/>
    <w:rsid w:val="00611347"/>
    <w:rsid w:val="00630AB9"/>
    <w:rsid w:val="00751394"/>
    <w:rsid w:val="008210C1"/>
    <w:rsid w:val="0088360E"/>
    <w:rsid w:val="008A28D8"/>
    <w:rsid w:val="009A690B"/>
    <w:rsid w:val="009E6EBB"/>
    <w:rsid w:val="00A211BD"/>
    <w:rsid w:val="00A94BAA"/>
    <w:rsid w:val="00B71FC8"/>
    <w:rsid w:val="00BA2167"/>
    <w:rsid w:val="00C621D6"/>
    <w:rsid w:val="00D23251"/>
    <w:rsid w:val="00D63DBC"/>
    <w:rsid w:val="00E73026"/>
    <w:rsid w:val="00EA239B"/>
    <w:rsid w:val="00F41A62"/>
    <w:rsid w:val="00FE3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D84F"/>
  <w15:chartTrackingRefBased/>
  <w15:docId w15:val="{1B0007B0-6B47-4AC7-ACF3-F2254AEC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 Char Char Char,Footnote Text Char Char Char Char Char,Char,Footnote Text Char1,5_G, Char Char Char, Char Char Char Char Char,Footnote Text Char Char,Footnote Text1, Char Char"/>
    <w:basedOn w:val="Normal"/>
    <w:link w:val="FootnoteTextChar"/>
    <w:uiPriority w:val="99"/>
    <w:unhideWhenUsed/>
    <w:qFormat/>
    <w:rsid w:val="00EA239B"/>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Footnote Text Char Char Char Char Char Char,Char Char,Footnote Text Char1 Char,5_G Char, Char Char Char Char, Char Char Char Char Char Char"/>
    <w:basedOn w:val="DefaultParagraphFont"/>
    <w:link w:val="FootnoteText"/>
    <w:uiPriority w:val="99"/>
    <w:rsid w:val="00EA239B"/>
    <w:rPr>
      <w:sz w:val="20"/>
      <w:szCs w:val="20"/>
    </w:rPr>
  </w:style>
  <w:style w:type="character" w:styleId="FootnoteReference">
    <w:name w:val="footnote reference"/>
    <w:aliases w:val="4_GA,4_G,(Footnote Reference),Note de bas de p."/>
    <w:basedOn w:val="DefaultParagraphFont"/>
    <w:uiPriority w:val="99"/>
    <w:unhideWhenUsed/>
    <w:qFormat/>
    <w:rsid w:val="00EA239B"/>
    <w:rPr>
      <w:vertAlign w:val="superscript"/>
    </w:rPr>
  </w:style>
  <w:style w:type="paragraph" w:styleId="BodyTextIndent2">
    <w:name w:val="Body Text Indent 2"/>
    <w:basedOn w:val="Normal"/>
    <w:link w:val="BodyTextIndent2Char"/>
    <w:uiPriority w:val="99"/>
    <w:semiHidden/>
    <w:unhideWhenUsed/>
    <w:rsid w:val="00EA239B"/>
    <w:pPr>
      <w:spacing w:after="120" w:line="480" w:lineRule="auto"/>
      <w:ind w:left="360"/>
    </w:pPr>
  </w:style>
  <w:style w:type="character" w:customStyle="1" w:styleId="BodyTextIndent2Char">
    <w:name w:val="Body Text Indent 2 Char"/>
    <w:basedOn w:val="DefaultParagraphFont"/>
    <w:link w:val="BodyTextIndent2"/>
    <w:uiPriority w:val="99"/>
    <w:semiHidden/>
    <w:rsid w:val="00EA239B"/>
  </w:style>
  <w:style w:type="paragraph" w:styleId="NormalWeb">
    <w:name w:val="Normal (Web)"/>
    <w:basedOn w:val="Normal"/>
    <w:uiPriority w:val="99"/>
    <w:unhideWhenUsed/>
    <w:rsid w:val="00EA239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odyText">
    <w:name w:val="Body Text"/>
    <w:basedOn w:val="Normal"/>
    <w:link w:val="BodyTextChar"/>
    <w:uiPriority w:val="99"/>
    <w:semiHidden/>
    <w:unhideWhenUsed/>
    <w:rsid w:val="00630AB9"/>
    <w:pPr>
      <w:spacing w:after="120"/>
    </w:pPr>
  </w:style>
  <w:style w:type="character" w:customStyle="1" w:styleId="BodyTextChar">
    <w:name w:val="Body Text Char"/>
    <w:basedOn w:val="DefaultParagraphFont"/>
    <w:link w:val="BodyText"/>
    <w:uiPriority w:val="99"/>
    <w:semiHidden/>
    <w:rsid w:val="00630AB9"/>
  </w:style>
  <w:style w:type="paragraph" w:styleId="ListParagraph">
    <w:name w:val="List Paragraph"/>
    <w:aliases w:val="NBP"/>
    <w:basedOn w:val="Normal"/>
    <w:uiPriority w:val="34"/>
    <w:qFormat/>
    <w:rsid w:val="00630AB9"/>
    <w:pPr>
      <w:spacing w:after="0" w:line="240" w:lineRule="auto"/>
      <w:ind w:left="720"/>
    </w:pPr>
    <w:rPr>
      <w:rFonts w:ascii="Calibri" w:eastAsia="Calibri" w:hAnsi="Calibri" w:cs="Arial"/>
      <w:kern w:val="0"/>
      <w14:ligatures w14:val="none"/>
    </w:rPr>
  </w:style>
  <w:style w:type="character" w:customStyle="1" w:styleId="hilight1">
    <w:name w:val="hilight1"/>
    <w:rsid w:val="00630AB9"/>
    <w:rPr>
      <w:shd w:val="clear" w:color="auto" w:fill="99FF99"/>
    </w:rPr>
  </w:style>
  <w:style w:type="paragraph" w:styleId="EndnoteText">
    <w:name w:val="endnote text"/>
    <w:basedOn w:val="Normal"/>
    <w:link w:val="EndnoteTextChar"/>
    <w:uiPriority w:val="99"/>
    <w:semiHidden/>
    <w:unhideWhenUsed/>
    <w:rsid w:val="00630AB9"/>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630AB9"/>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630AB9"/>
    <w:rPr>
      <w:vertAlign w:val="superscript"/>
    </w:rPr>
  </w:style>
  <w:style w:type="character" w:styleId="Emphasis">
    <w:name w:val="Emphasis"/>
    <w:uiPriority w:val="20"/>
    <w:qFormat/>
    <w:rsid w:val="009E6EBB"/>
    <w:rPr>
      <w:caps/>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13</cp:revision>
  <dcterms:created xsi:type="dcterms:W3CDTF">2025-10-27T12:46:00Z</dcterms:created>
  <dcterms:modified xsi:type="dcterms:W3CDTF">2025-11-01T09:49:00Z</dcterms:modified>
</cp:coreProperties>
</file>