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59D" w:rsidRDefault="00F3059D" w:rsidP="00246FCA">
      <w:pPr>
        <w:bidi/>
        <w:spacing w:after="225" w:line="750" w:lineRule="atLeast"/>
        <w:textAlignment w:val="baseline"/>
        <w:outlineLvl w:val="0"/>
        <w:rPr>
          <w:rFonts w:ascii="Arial" w:eastAsia="Times New Roman" w:hAnsi="Arial" w:cs="Arial"/>
          <w:b/>
          <w:bCs/>
          <w:color w:val="000000"/>
          <w:kern w:val="36"/>
          <w:sz w:val="54"/>
          <w:szCs w:val="54"/>
          <w:rtl/>
        </w:rPr>
      </w:pPr>
      <w:r>
        <w:rPr>
          <w:rFonts w:ascii="Arial" w:eastAsia="Times New Roman" w:hAnsi="Arial" w:cs="Arial" w:hint="cs"/>
          <w:b/>
          <w:bCs/>
          <w:color w:val="000000"/>
          <w:kern w:val="36"/>
          <w:sz w:val="54"/>
          <w:szCs w:val="54"/>
          <w:rtl/>
        </w:rPr>
        <w:t xml:space="preserve">مقالة للأستاذ عباس الصباغ منشورة في جريدة النهار تتضمن موقف أبديته من كيفية توقيع المراسيم عند ممارسة مجلس الوزراء صلاحيات </w:t>
      </w:r>
      <w:bookmarkStart w:id="0" w:name="_GoBack"/>
      <w:bookmarkEnd w:id="0"/>
      <w:r w:rsidR="00246FCA">
        <w:rPr>
          <w:rFonts w:ascii="Arial" w:eastAsia="Times New Roman" w:hAnsi="Arial" w:cs="Arial" w:hint="cs"/>
          <w:b/>
          <w:bCs/>
          <w:color w:val="000000"/>
          <w:kern w:val="36"/>
          <w:sz w:val="54"/>
          <w:szCs w:val="54"/>
          <w:rtl/>
        </w:rPr>
        <w:t xml:space="preserve">رئيس الجمهورية </w:t>
      </w:r>
      <w:r>
        <w:rPr>
          <w:rFonts w:ascii="Arial" w:eastAsia="Times New Roman" w:hAnsi="Arial" w:cs="Arial" w:hint="cs"/>
          <w:b/>
          <w:bCs/>
          <w:color w:val="000000"/>
          <w:kern w:val="36"/>
          <w:sz w:val="54"/>
          <w:szCs w:val="54"/>
          <w:rtl/>
        </w:rPr>
        <w:t>وكالة، وما إذا كان يحق للوزير الامتناع عن التوقيع</w:t>
      </w:r>
    </w:p>
    <w:p w:rsidR="00F3059D" w:rsidRDefault="00F3059D" w:rsidP="00F3059D">
      <w:pPr>
        <w:bidi/>
        <w:spacing w:after="225" w:line="750" w:lineRule="atLeast"/>
        <w:textAlignment w:val="baseline"/>
        <w:outlineLvl w:val="0"/>
        <w:rPr>
          <w:rFonts w:ascii="Arial" w:eastAsia="Times New Roman" w:hAnsi="Arial" w:cs="Arial"/>
          <w:b/>
          <w:bCs/>
          <w:color w:val="000000"/>
          <w:kern w:val="36"/>
          <w:sz w:val="54"/>
          <w:szCs w:val="54"/>
          <w:rtl/>
        </w:rPr>
      </w:pPr>
    </w:p>
    <w:p w:rsidR="0028739F" w:rsidRPr="0028739F" w:rsidRDefault="0028739F" w:rsidP="00F3059D">
      <w:pPr>
        <w:bidi/>
        <w:spacing w:after="225" w:line="750" w:lineRule="atLeast"/>
        <w:textAlignment w:val="baseline"/>
        <w:outlineLvl w:val="0"/>
        <w:rPr>
          <w:rFonts w:ascii="Arial" w:eastAsia="Times New Roman" w:hAnsi="Arial" w:cs="Arial"/>
          <w:b/>
          <w:bCs/>
          <w:color w:val="000000"/>
          <w:kern w:val="36"/>
          <w:sz w:val="54"/>
          <w:szCs w:val="54"/>
        </w:rPr>
      </w:pPr>
      <w:r w:rsidRPr="0028739F">
        <w:rPr>
          <w:rFonts w:ascii="Arial" w:eastAsia="Times New Roman" w:hAnsi="Arial" w:cs="Arial"/>
          <w:b/>
          <w:bCs/>
          <w:color w:val="000000"/>
          <w:kern w:val="36"/>
          <w:sz w:val="54"/>
          <w:szCs w:val="54"/>
          <w:rtl/>
        </w:rPr>
        <w:t>منازلة الصلاحيات وإصدار المراسيم مستمرّة... هل من وسيلة لإلزام الوزير توقيع مرسوم؟</w:t>
      </w:r>
    </w:p>
    <w:p w:rsidR="0028739F" w:rsidRPr="0028739F" w:rsidRDefault="009D72BA" w:rsidP="0028739F">
      <w:pPr>
        <w:bidi/>
        <w:spacing w:after="150" w:line="240" w:lineRule="auto"/>
        <w:textAlignment w:val="top"/>
        <w:rPr>
          <w:rFonts w:ascii="Arial" w:eastAsia="Times New Roman" w:hAnsi="Arial" w:cs="Arial"/>
          <w:color w:val="000000"/>
          <w:sz w:val="21"/>
          <w:szCs w:val="21"/>
          <w:rtl/>
        </w:rPr>
      </w:pPr>
      <w:r>
        <w:rPr>
          <w:rFonts w:ascii="Arial" w:eastAsia="Times New Roman" w:hAnsi="Arial" w:cs="Arial" w:hint="cs"/>
          <w:color w:val="6C6C6C"/>
          <w:sz w:val="20"/>
          <w:szCs w:val="20"/>
          <w:bdr w:val="none" w:sz="0" w:space="0" w:color="auto" w:frame="1"/>
          <w:rtl/>
          <w:lang w:bidi="ar-LB"/>
        </w:rPr>
        <w:t xml:space="preserve">جريدة النهار تاريخ </w:t>
      </w:r>
      <w:r>
        <w:rPr>
          <w:rFonts w:ascii="Arial" w:eastAsia="Times New Roman" w:hAnsi="Arial" w:cs="Arial"/>
          <w:color w:val="6C6C6C"/>
          <w:sz w:val="20"/>
          <w:szCs w:val="20"/>
          <w:bdr w:val="none" w:sz="0" w:space="0" w:color="auto" w:frame="1"/>
          <w:rtl/>
        </w:rPr>
        <w:t xml:space="preserve">23-12-2022 </w:t>
      </w:r>
    </w:p>
    <w:p w:rsidR="0028739F" w:rsidRPr="0028739F" w:rsidRDefault="0028739F" w:rsidP="0028739F">
      <w:pPr>
        <w:bidi/>
        <w:spacing w:after="0" w:line="240" w:lineRule="auto"/>
        <w:textAlignment w:val="top"/>
        <w:rPr>
          <w:rFonts w:ascii="Arial" w:eastAsia="Times New Roman" w:hAnsi="Arial" w:cs="Arial"/>
          <w:color w:val="000000"/>
          <w:sz w:val="21"/>
          <w:szCs w:val="21"/>
          <w:rtl/>
        </w:rPr>
      </w:pPr>
    </w:p>
    <w:p w:rsidR="0028739F" w:rsidRPr="0028739F" w:rsidRDefault="00246FCA" w:rsidP="0028739F">
      <w:pPr>
        <w:bidi/>
        <w:spacing w:line="465" w:lineRule="atLeast"/>
        <w:textAlignment w:val="top"/>
        <w:rPr>
          <w:rFonts w:ascii="Arial" w:eastAsia="Times New Roman" w:hAnsi="Arial" w:cs="Arial"/>
          <w:b/>
          <w:bCs/>
          <w:color w:val="00C0F3"/>
          <w:sz w:val="24"/>
          <w:szCs w:val="24"/>
          <w:rtl/>
        </w:rPr>
      </w:pPr>
      <w:hyperlink r:id="rId5" w:tooltip="عباس صباغ" w:history="1">
        <w:r w:rsidR="0028739F" w:rsidRPr="0028739F">
          <w:rPr>
            <w:rFonts w:ascii="Arial" w:eastAsia="Times New Roman" w:hAnsi="Arial" w:cs="Arial"/>
            <w:b/>
            <w:bCs/>
            <w:color w:val="00C0F3"/>
            <w:sz w:val="24"/>
            <w:szCs w:val="24"/>
            <w:bdr w:val="none" w:sz="0" w:space="0" w:color="auto" w:frame="1"/>
            <w:rtl/>
          </w:rPr>
          <w:t>عباس صباغ</w:t>
        </w:r>
      </w:hyperlink>
    </w:p>
    <w:p w:rsidR="0028739F" w:rsidRPr="0028739F" w:rsidRDefault="0028739F" w:rsidP="0028739F">
      <w:pPr>
        <w:bidi/>
        <w:spacing w:after="0" w:line="240" w:lineRule="auto"/>
        <w:textAlignment w:val="top"/>
        <w:rPr>
          <w:rFonts w:ascii="Arial" w:eastAsia="Times New Roman" w:hAnsi="Arial" w:cs="Arial"/>
          <w:color w:val="000000"/>
          <w:sz w:val="23"/>
          <w:szCs w:val="23"/>
          <w:rtl/>
        </w:rPr>
      </w:pPr>
      <w:r w:rsidRPr="0028739F">
        <w:rPr>
          <w:rFonts w:ascii="Arial" w:eastAsia="Times New Roman" w:hAnsi="Arial" w:cs="Arial"/>
          <w:color w:val="000000"/>
          <w:sz w:val="23"/>
          <w:szCs w:val="23"/>
          <w:rtl/>
        </w:rPr>
        <w:t>لم تنته مفاعيل وتردّدات جلسة 5 كانون الأول الحكومية بعدما رفع "</w:t>
      </w:r>
      <w:hyperlink r:id="rId6" w:history="1">
        <w:r w:rsidRPr="0028739F">
          <w:rPr>
            <w:rFonts w:ascii="Arial" w:eastAsia="Times New Roman" w:hAnsi="Arial" w:cs="Arial"/>
            <w:color w:val="0000FF"/>
            <w:sz w:val="23"/>
            <w:szCs w:val="23"/>
            <w:bdr w:val="none" w:sz="0" w:space="0" w:color="auto" w:frame="1"/>
            <w:rtl/>
          </w:rPr>
          <w:t>#التيار الوطني الحر</w:t>
        </w:r>
      </w:hyperlink>
      <w:r w:rsidRPr="0028739F">
        <w:rPr>
          <w:rFonts w:ascii="Arial" w:eastAsia="Times New Roman" w:hAnsi="Arial" w:cs="Arial"/>
          <w:color w:val="000000"/>
          <w:sz w:val="23"/>
          <w:szCs w:val="23"/>
          <w:rtl/>
        </w:rPr>
        <w:t>" سقف المواجهة مع رئيس الحكومة ومن يدعمه في عقد جلسات الضرورة. لكن التطور الأبرز كان من خلال رد وزير الدفاع على مرسوم صدر في الجلسة بشأن العسكريين واعتماد توقيع الـ24 وزيراً ومن ثم طلب رئاسة الحكومة منه اعتماد المرسوم بالصيغة التي أصدرها مجلس الوزراء. فكيف مارست الحكومات المتعاقبة صلاحيات </w:t>
      </w:r>
      <w:hyperlink r:id="rId7" w:history="1">
        <w:r w:rsidRPr="0028739F">
          <w:rPr>
            <w:rFonts w:ascii="Arial" w:eastAsia="Times New Roman" w:hAnsi="Arial" w:cs="Arial"/>
            <w:color w:val="0000FF"/>
            <w:sz w:val="23"/>
            <w:szCs w:val="23"/>
            <w:bdr w:val="none" w:sz="0" w:space="0" w:color="auto" w:frame="1"/>
            <w:rtl/>
          </w:rPr>
          <w:t>#رئاسة الجمهورية</w:t>
        </w:r>
      </w:hyperlink>
      <w:r w:rsidRPr="0028739F">
        <w:rPr>
          <w:rFonts w:ascii="Arial" w:eastAsia="Times New Roman" w:hAnsi="Arial" w:cs="Arial"/>
          <w:color w:val="000000"/>
          <w:sz w:val="23"/>
          <w:szCs w:val="23"/>
          <w:rtl/>
        </w:rPr>
        <w:t> منذ عام 1988 وصولاً الى اليوم، وكيف كان يتم توقيع المراسيم؟</w:t>
      </w:r>
    </w:p>
    <w:p w:rsidR="0028739F" w:rsidRPr="0028739F" w:rsidRDefault="0028739F" w:rsidP="0028739F">
      <w:pPr>
        <w:bidi/>
        <w:spacing w:line="240" w:lineRule="auto"/>
        <w:textAlignment w:val="top"/>
        <w:rPr>
          <w:rFonts w:ascii="Arial" w:eastAsia="Times New Roman" w:hAnsi="Arial" w:cs="Arial"/>
          <w:color w:val="000000"/>
          <w:sz w:val="23"/>
          <w:szCs w:val="23"/>
          <w:rtl/>
        </w:rPr>
      </w:pPr>
      <w:r w:rsidRPr="0028739F">
        <w:rPr>
          <w:rFonts w:ascii="Arial" w:eastAsia="Times New Roman" w:hAnsi="Arial" w:cs="Arial"/>
          <w:color w:val="000000"/>
          <w:sz w:val="23"/>
          <w:szCs w:val="23"/>
          <w:rtl/>
        </w:rPr>
        <w:br/>
        <w:t>يستمر الجدل الدستوري السياسي بشأن ممارسة حكومة الرئيس نجيب ميقاتي صلاحيات رئاسة الجمهورية ولا سيما أن التحذير من الفوضى الدستورية في حال انتقال صلاحيات الرئاسة الى حكومة تصريف الأعمال استبق الفراغ في سدة الرئاسة. ميقاتي استمهل لأسابيع قبل الدعوة لجلسة 5 كانون الأول، وإن كان حرص على حصر جدول الأعمال بعد خفضه بالمسائل الضرورية والملحة، إلا أن ذلك لم يمنع الخلاف الكبير من احتلال الواجهة بعد تأمين وزير الصناعة جورج بوشكيان النصاب لعقد جلسة مجلس الوزراء.</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نص الدستور على انتقال صلاحيات الرئاسة الى الحكومة، ففي نص المادة 62 كما عُدّلت بموجب القانون الدستوري رقم 18 في 21 أيلول 1990 جاء حرفياً "في حال خلوّ سدّة الرئاسة لأية علّة كانت تناط صلاحيات رئيس الجمهورية وكالة بمجلس الوزراء". وبالتالي لم يبيّن الدستور اللبناني كيفية ممارسة مجلس الوزراء صلاحيات رئيس الجمهورية وكالة، مكتفياً بإناطة هذه السلطة بمجلس الوزراء دون تعيين بقيّة التفاصيل مما أوجد إرباكاً في التطبيق عندما يكون مجلس الوزراء غير متجانس وتغلب الخصومة والمنازعة بين أعضائه.</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r>
      <w:r w:rsidRPr="0028739F">
        <w:rPr>
          <w:rFonts w:ascii="Arial" w:eastAsia="Times New Roman" w:hAnsi="Arial" w:cs="Arial"/>
          <w:b/>
          <w:bCs/>
          <w:color w:val="000000"/>
          <w:sz w:val="23"/>
          <w:szCs w:val="23"/>
          <w:bdr w:val="none" w:sz="0" w:space="0" w:color="auto" w:frame="1"/>
          <w:rtl/>
        </w:rPr>
        <w:t>حكومات مارست صلاحيات الرئاسة</w:t>
      </w:r>
      <w:r w:rsidRPr="0028739F">
        <w:rPr>
          <w:rFonts w:ascii="Arial" w:eastAsia="Times New Roman" w:hAnsi="Arial" w:cs="Arial"/>
          <w:b/>
          <w:bCs/>
          <w:color w:val="000000"/>
          <w:sz w:val="23"/>
          <w:szCs w:val="23"/>
          <w:bdr w:val="none" w:sz="0" w:space="0" w:color="auto" w:frame="1"/>
          <w:rtl/>
        </w:rPr>
        <w:br/>
      </w:r>
      <w:r w:rsidRPr="0028739F">
        <w:rPr>
          <w:rFonts w:ascii="Arial" w:eastAsia="Times New Roman" w:hAnsi="Arial" w:cs="Arial"/>
          <w:color w:val="000000"/>
          <w:sz w:val="23"/>
          <w:szCs w:val="23"/>
          <w:rtl/>
        </w:rPr>
        <w:lastRenderedPageBreak/>
        <w:t>صحيح أنها ليست المرة الأولى التي يعيش فيها لبنان فراغاً في سدة الرئاسة، ولكنها المرة الاولى التي يشهد فيها لبنان هذا الجدل الدستوري – السياسي بشأن انتقال الصلاحيات لحكومة تصريف أعمال.</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قبل الطائف شهد لبنان فراغاً في سدة الرئاسة بدأ في 23 أيلول 1988 مع انتهاء ولاية الرئيس الأسبق أمين الجميّل وتعذر انتخاب خلف له، وبموجب دستور ما قبل الطائف عيّن الجميّل قائد الجيش حينها العماد ميشال عون رئيساً لحكومة عسكرية انتقالية، وبطبيعة الحال تولت تلك الحكومة صلاحيات الرئاسة في ظل حكومة ثانية برئاسة سليم الحص ودخل لبنان عهد الحكومتين.</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لكن التجارب السابقة في ممارسة صلاحيات رئاسة الجمهورية لم تكن موحّدة ولا متشابهة حتى بعد الطائف، ولم يكن هناك معيار موحّد يصار إلى اعتماده.</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وبحسب أستاذ القانون الدستوري عصام إسماعيل فإنه في حكومة عون العسكرية التي كانت مؤلفة من ثلاثة أعضاء بعد استقالة الوزراء المسلمين ورفضهم المشاركة، وافق مجلس شورى الدولة حينها على اعتبار توقيع رئيس الحكومة والوزير المختص كافياً للقول بصحة صدور المقررات عن مجلس الوزراء وكالةً عن رئيس الجمهورية.</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كان هذا قبل الطائف وقبل التعديلات الدستورية، ولكن كيف مارست حكومتا الرئيسين فؤاد السنيورة وتمام سلام صلاحيات الرئاسة؟</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خلال حكومة الرئيس فؤاد السنيورة وبعد استقالة الوزراء الشيعة والوزير يعقوب الصراف، وعلى الرغم من أنها كانت "حكومة بتراء" بحسب ما اصطلح خصومها على توصيفها فإنها كانت حكومة متجانسة بين أعضائها ولهذا لم تثر مسألة توقيع الوزراء على مقررات مجلس الوزراء.</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واختلف الأمر في حكومة تمام سلام، ويشير إسماعيل لـ"النهار" إلى أنه "في جلسة 26 حزيران 2014 اعتمدت قاعدة أن يوقِّع الوزراء على المراسيم إذا أرادوا أو يُكتفى بتوقيع ممثلي الكتل السياسية في الحكومة، ولا سيما أن القرارات كلها تصدر بموافقة كل الوزراء". ووفق ذلك الإجراء درجت الحكومة على إصدار المراسيم حاملة تواقيع 23 وزيراً بالإضافة الى رئيس الحكومة.</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ويلفت إسماعيل الى أن استحالة تأمين الإجماع بسبب الخصومة بين أعضاء المجلس حينها، دفعت برئيس الحكومة إلى الاعتكاف الى أن تم الاتفاق في 7 آذار 2015 على أن المراسيم تصدر ممهورة بتوقيع جميع الوزراء الذين يودّون ذلك، وبالفعل من يراجع الجريدة الرسمية بعد هذا التاريخ يجد أن المراسيم لا تحمل تواقيع كل الوزراء الذين تتألف منهم الحكومة. ويخلص أستاذ القانون الدستوري الى أنه "بسبب عدم الاستقرار على آليّة معيّنة لكيفية إصدار مقررات مجلس الوزراء عندما تناط به صلاحيات رئيس الجمهورية وكالةً، يكون مقبولاً اعتماد ميقاتي توقيع المقررات من رئيس الحكومة والوزاراء المختصين".</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r>
      <w:r w:rsidRPr="0028739F">
        <w:rPr>
          <w:rFonts w:ascii="Arial" w:eastAsia="Times New Roman" w:hAnsi="Arial" w:cs="Arial"/>
          <w:b/>
          <w:bCs/>
          <w:color w:val="000000"/>
          <w:sz w:val="23"/>
          <w:szCs w:val="23"/>
          <w:bdr w:val="none" w:sz="0" w:space="0" w:color="auto" w:frame="1"/>
          <w:rtl/>
        </w:rPr>
        <w:t>صلاحيات الوزير في توقيع مشروع المرسوم</w:t>
      </w:r>
      <w:r w:rsidRPr="0028739F">
        <w:rPr>
          <w:rFonts w:ascii="Arial" w:eastAsia="Times New Roman" w:hAnsi="Arial" w:cs="Arial"/>
          <w:b/>
          <w:bCs/>
          <w:color w:val="000000"/>
          <w:sz w:val="23"/>
          <w:szCs w:val="23"/>
          <w:bdr w:val="none" w:sz="0" w:space="0" w:color="auto" w:frame="1"/>
          <w:rtl/>
        </w:rPr>
        <w:br/>
      </w:r>
      <w:r w:rsidRPr="0028739F">
        <w:rPr>
          <w:rFonts w:ascii="Arial" w:eastAsia="Times New Roman" w:hAnsi="Arial" w:cs="Arial"/>
          <w:color w:val="000000"/>
          <w:sz w:val="23"/>
          <w:szCs w:val="23"/>
          <w:rtl/>
        </w:rPr>
        <w:t>لكن ربطاً بالخلاف السياسي بشأن عقد جلسات الحكومة ومعارضة عدد من الوزراء لمبدأ تولي حكومة تصريف الأعمال صلاحيات الرئاسة، برز التباين بين رئيس الحكومة وبعض الوزراء ومن بينهم وزير الدفاع موريس سليم، وللمرة الاولى توجّه رئاسة مجلس الوزراء كتاباً جوابياً للوزير تطلب فيه توقيع مشروع المرسوم بشأن الأسلاك العسكرية كما أقرته الحكومة ومن دون أي تعديل، بعدما رفض سليم المرسوم لأنه لا يحمل توقيع جميع الوزراء. فما المخرج لذلك وهل</w:t>
      </w:r>
      <w:r w:rsidRPr="0028739F">
        <w:rPr>
          <w:rFonts w:ascii="Arial" w:eastAsia="Times New Roman" w:hAnsi="Arial" w:cs="Arial"/>
          <w:color w:val="000000"/>
          <w:sz w:val="23"/>
          <w:szCs w:val="23"/>
          <w:rtl/>
        </w:rPr>
        <w:br/>
        <w:t>يمكن إلزام الوزير التوقيع؟</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يجيب إسماعيل "المبدأ المقرر في المادة 28 من مرسوم تنظيم أعمال مجلس الوزراء ينص على أن قرارات مجلس الوزراء ملزمة لجميع أعضاء الحكومة وفقاً لمبدأ التضامن الوزاري. وعلى الوزير المختصّ تبعاً لذلك الالتزام بتوقيع مشاريع المراسيم تنفيذاً لهذه القرارات".</w:t>
      </w:r>
      <w:r w:rsidRPr="0028739F">
        <w:rPr>
          <w:rFonts w:ascii="Arial" w:eastAsia="Times New Roman" w:hAnsi="Arial" w:cs="Arial"/>
          <w:color w:val="000000"/>
          <w:sz w:val="23"/>
          <w:szCs w:val="23"/>
          <w:rtl/>
        </w:rPr>
        <w:br/>
        <w:t>ويُذكر أن سابقة شهدتها الحكومة عندما رفض وزير العمل شربل نحاس التوقيع على مشروع مرسوم تولّى التوقيع وزير العمل بالوكالة نقولا فتوش، وبسبب أزمة الامتناع عن التوقيع استقال الوزير نحاس...</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 xml:space="preserve">ويوضح إسماعيل "إلا أن هذا النص يفترض أن يكون الوزير الممتنع عن التوقيع ممارساً صلاحياته الدستورية أي </w:t>
      </w:r>
      <w:r w:rsidRPr="0028739F">
        <w:rPr>
          <w:rFonts w:ascii="Arial" w:eastAsia="Times New Roman" w:hAnsi="Arial" w:cs="Arial"/>
          <w:color w:val="000000"/>
          <w:sz w:val="23"/>
          <w:szCs w:val="23"/>
          <w:rtl/>
        </w:rPr>
        <w:lastRenderedPageBreak/>
        <w:t>حاضراً للجلسة التي وافق في خلالها مجلس الوزراء على مشروع المرسوم، وأبدى ملاحظاته عملاً بالمادة 12 من مرسوم تنظيم أعمال مجلس الوزراء التي تعطي الكلام في البداية للوزير المختص".</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ويعرض إسماعيل لموقف المجلس الدستوري من حضور الوزير جلسات مجلس الوزراء، ولا سيما القرار الصادر في 22 تموز 2020 ليؤكد أنه "إذا أصرّ وزير الدفاع على عدم التوقيع بسبب عدم حضوره الجلسة ولا مناقشته مشروع المرسوم المطروح، فإنه ليس أمام رئيس مجلس الوزراء أي وسيلة لإلزامه بالتوقيع".</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t>وبناءً على ذلك فإن مصير المراسيم إذا أصر الوزير أو وزراء آخرون على عدم التوقيع عليها سيبقى غامضاً.</w:t>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r>
      <w:r w:rsidRPr="0028739F">
        <w:rPr>
          <w:rFonts w:ascii="Arial" w:eastAsia="Times New Roman" w:hAnsi="Arial" w:cs="Arial"/>
          <w:color w:val="000000"/>
          <w:sz w:val="23"/>
          <w:szCs w:val="23"/>
          <w:rtl/>
        </w:rPr>
        <w:br/>
      </w:r>
      <w:r w:rsidRPr="0028739F">
        <w:rPr>
          <w:rFonts w:ascii="Arial" w:eastAsia="Times New Roman" w:hAnsi="Arial" w:cs="Arial"/>
          <w:b/>
          <w:bCs/>
          <w:color w:val="000000"/>
          <w:sz w:val="23"/>
          <w:szCs w:val="23"/>
          <w:bdr w:val="none" w:sz="0" w:space="0" w:color="auto" w:frame="1"/>
        </w:rPr>
        <w:t>Abbas.sabbagh@annahar.com.lb</w:t>
      </w:r>
    </w:p>
    <w:p w:rsidR="009D72BA" w:rsidRDefault="009D72BA" w:rsidP="009D72BA"/>
    <w:p w:rsidR="00424979" w:rsidRDefault="009D72BA" w:rsidP="009D72BA">
      <w:pPr>
        <w:bidi/>
        <w:rPr>
          <w:rFonts w:cs="Arial"/>
        </w:rPr>
      </w:pPr>
      <w:r>
        <w:rPr>
          <w:rFonts w:cs="Arial"/>
        </w:rPr>
        <w:t xml:space="preserve"> </w:t>
      </w:r>
      <w:hyperlink r:id="rId8" w:history="1">
        <w:r w:rsidRPr="00BE7FB0">
          <w:rPr>
            <w:rStyle w:val="Hyperlink"/>
            <w:rFonts w:cs="Arial"/>
          </w:rPr>
          <w:t>https://www.annahar.com/arabic/section/76-%D8%B3%D9%8A%D8%A7%D8%B3%D8%A9/22122022081319029</w:t>
        </w:r>
      </w:hyperlink>
    </w:p>
    <w:p w:rsidR="009D72BA" w:rsidRPr="0028739F" w:rsidRDefault="009D72BA" w:rsidP="009D72BA">
      <w:pPr>
        <w:bidi/>
      </w:pPr>
    </w:p>
    <w:sectPr w:rsidR="009D72BA" w:rsidRPr="002873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83EF5"/>
    <w:multiLevelType w:val="multilevel"/>
    <w:tmpl w:val="079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39F"/>
    <w:rsid w:val="00246FCA"/>
    <w:rsid w:val="0028739F"/>
    <w:rsid w:val="00424979"/>
    <w:rsid w:val="009D72BA"/>
    <w:rsid w:val="00F305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CA11"/>
  <w15:chartTrackingRefBased/>
  <w15:docId w15:val="{817B24B6-4458-455C-907C-8329D2FD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73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2873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39F"/>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28739F"/>
    <w:rPr>
      <w:rFonts w:ascii="Times New Roman" w:eastAsia="Times New Roman" w:hAnsi="Times New Roman" w:cs="Times New Roman"/>
      <w:b/>
      <w:bCs/>
      <w:sz w:val="20"/>
      <w:szCs w:val="20"/>
    </w:rPr>
  </w:style>
  <w:style w:type="character" w:customStyle="1" w:styleId="Date1">
    <w:name w:val="Date1"/>
    <w:basedOn w:val="DefaultParagraphFont"/>
    <w:rsid w:val="0028739F"/>
  </w:style>
  <w:style w:type="character" w:customStyle="1" w:styleId="source">
    <w:name w:val="source"/>
    <w:basedOn w:val="DefaultParagraphFont"/>
    <w:rsid w:val="0028739F"/>
  </w:style>
  <w:style w:type="character" w:styleId="Hyperlink">
    <w:name w:val="Hyperlink"/>
    <w:basedOn w:val="DefaultParagraphFont"/>
    <w:uiPriority w:val="99"/>
    <w:unhideWhenUsed/>
    <w:rsid w:val="0028739F"/>
    <w:rPr>
      <w:color w:val="0000FF"/>
      <w:u w:val="single"/>
    </w:rPr>
  </w:style>
  <w:style w:type="character" w:customStyle="1" w:styleId="name">
    <w:name w:val="name"/>
    <w:basedOn w:val="DefaultParagraphFont"/>
    <w:rsid w:val="0028739F"/>
  </w:style>
  <w:style w:type="character" w:styleId="Strong">
    <w:name w:val="Strong"/>
    <w:basedOn w:val="DefaultParagraphFont"/>
    <w:uiPriority w:val="22"/>
    <w:qFormat/>
    <w:rsid w:val="00287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95053">
      <w:bodyDiv w:val="1"/>
      <w:marLeft w:val="0"/>
      <w:marRight w:val="0"/>
      <w:marTop w:val="0"/>
      <w:marBottom w:val="0"/>
      <w:divBdr>
        <w:top w:val="none" w:sz="0" w:space="0" w:color="auto"/>
        <w:left w:val="none" w:sz="0" w:space="0" w:color="auto"/>
        <w:bottom w:val="none" w:sz="0" w:space="0" w:color="auto"/>
        <w:right w:val="none" w:sz="0" w:space="0" w:color="auto"/>
      </w:divBdr>
      <w:divsChild>
        <w:div w:id="1523206016">
          <w:marLeft w:val="0"/>
          <w:marRight w:val="0"/>
          <w:marTop w:val="0"/>
          <w:marBottom w:val="0"/>
          <w:divBdr>
            <w:top w:val="none" w:sz="0" w:space="0" w:color="auto"/>
            <w:left w:val="none" w:sz="0" w:space="0" w:color="auto"/>
            <w:bottom w:val="none" w:sz="0" w:space="0" w:color="auto"/>
            <w:right w:val="none" w:sz="0" w:space="0" w:color="auto"/>
          </w:divBdr>
          <w:divsChild>
            <w:div w:id="1014235288">
              <w:marLeft w:val="0"/>
              <w:marRight w:val="0"/>
              <w:marTop w:val="0"/>
              <w:marBottom w:val="0"/>
              <w:divBdr>
                <w:top w:val="none" w:sz="0" w:space="0" w:color="auto"/>
                <w:left w:val="none" w:sz="0" w:space="0" w:color="auto"/>
                <w:bottom w:val="none" w:sz="0" w:space="0" w:color="auto"/>
                <w:right w:val="none" w:sz="0" w:space="0" w:color="auto"/>
              </w:divBdr>
            </w:div>
            <w:div w:id="1380327247">
              <w:marLeft w:val="0"/>
              <w:marRight w:val="0"/>
              <w:marTop w:val="0"/>
              <w:marBottom w:val="150"/>
              <w:divBdr>
                <w:top w:val="none" w:sz="0" w:space="0" w:color="auto"/>
                <w:left w:val="none" w:sz="0" w:space="0" w:color="auto"/>
                <w:bottom w:val="none" w:sz="0" w:space="0" w:color="auto"/>
                <w:right w:val="none" w:sz="0" w:space="0" w:color="auto"/>
              </w:divBdr>
            </w:div>
            <w:div w:id="697121213">
              <w:marLeft w:val="0"/>
              <w:marRight w:val="0"/>
              <w:marTop w:val="0"/>
              <w:marBottom w:val="0"/>
              <w:divBdr>
                <w:top w:val="none" w:sz="0" w:space="0" w:color="auto"/>
                <w:left w:val="none" w:sz="0" w:space="0" w:color="auto"/>
                <w:bottom w:val="none" w:sz="0" w:space="0" w:color="auto"/>
                <w:right w:val="none" w:sz="0" w:space="0" w:color="auto"/>
              </w:divBdr>
              <w:divsChild>
                <w:div w:id="627245791">
                  <w:marLeft w:val="0"/>
                  <w:marRight w:val="0"/>
                  <w:marTop w:val="0"/>
                  <w:marBottom w:val="225"/>
                  <w:divBdr>
                    <w:top w:val="none" w:sz="0" w:space="0" w:color="auto"/>
                    <w:left w:val="none" w:sz="0" w:space="0" w:color="auto"/>
                    <w:bottom w:val="none" w:sz="0" w:space="0" w:color="auto"/>
                    <w:right w:val="none" w:sz="0" w:space="0" w:color="auto"/>
                  </w:divBdr>
                  <w:divsChild>
                    <w:div w:id="451902068">
                      <w:marLeft w:val="150"/>
                      <w:marRight w:val="0"/>
                      <w:marTop w:val="0"/>
                      <w:marBottom w:val="0"/>
                      <w:divBdr>
                        <w:top w:val="none" w:sz="0" w:space="0" w:color="auto"/>
                        <w:left w:val="none" w:sz="0" w:space="0" w:color="auto"/>
                        <w:bottom w:val="none" w:sz="0" w:space="0" w:color="auto"/>
                        <w:right w:val="none" w:sz="0" w:space="0" w:color="auto"/>
                      </w:divBdr>
                    </w:div>
                    <w:div w:id="1685788714">
                      <w:marLeft w:val="0"/>
                      <w:marRight w:val="0"/>
                      <w:marTop w:val="0"/>
                      <w:marBottom w:val="0"/>
                      <w:divBdr>
                        <w:top w:val="none" w:sz="0" w:space="0" w:color="auto"/>
                        <w:left w:val="none" w:sz="0" w:space="0" w:color="auto"/>
                        <w:bottom w:val="none" w:sz="0" w:space="0" w:color="auto"/>
                        <w:right w:val="none" w:sz="0" w:space="0" w:color="auto"/>
                      </w:divBdr>
                    </w:div>
                  </w:divsChild>
                </w:div>
                <w:div w:id="524247792">
                  <w:marLeft w:val="0"/>
                  <w:marRight w:val="0"/>
                  <w:marTop w:val="0"/>
                  <w:marBottom w:val="0"/>
                  <w:divBdr>
                    <w:top w:val="none" w:sz="0" w:space="0" w:color="auto"/>
                    <w:left w:val="none" w:sz="0" w:space="0" w:color="auto"/>
                    <w:bottom w:val="none" w:sz="0" w:space="0" w:color="auto"/>
                    <w:right w:val="none" w:sz="0" w:space="0" w:color="auto"/>
                  </w:divBdr>
                  <w:divsChild>
                    <w:div w:id="1476557777">
                      <w:marLeft w:val="0"/>
                      <w:marRight w:val="0"/>
                      <w:marTop w:val="0"/>
                      <w:marBottom w:val="0"/>
                      <w:divBdr>
                        <w:top w:val="none" w:sz="0" w:space="0" w:color="auto"/>
                        <w:left w:val="none" w:sz="0" w:space="0" w:color="auto"/>
                        <w:bottom w:val="none" w:sz="0" w:space="0" w:color="auto"/>
                        <w:right w:val="none" w:sz="0" w:space="0" w:color="auto"/>
                      </w:divBdr>
                      <w:divsChild>
                        <w:div w:id="126242840">
                          <w:marLeft w:val="0"/>
                          <w:marRight w:val="0"/>
                          <w:marTop w:val="0"/>
                          <w:marBottom w:val="225"/>
                          <w:divBdr>
                            <w:top w:val="none" w:sz="0" w:space="0" w:color="auto"/>
                            <w:left w:val="none" w:sz="0" w:space="0" w:color="auto"/>
                            <w:bottom w:val="none" w:sz="0" w:space="0" w:color="auto"/>
                            <w:right w:val="none" w:sz="0" w:space="0" w:color="auto"/>
                          </w:divBdr>
                        </w:div>
                        <w:div w:id="933591494">
                          <w:marLeft w:val="0"/>
                          <w:marRight w:val="0"/>
                          <w:marTop w:val="0"/>
                          <w:marBottom w:val="0"/>
                          <w:divBdr>
                            <w:top w:val="none" w:sz="0" w:space="0" w:color="auto"/>
                            <w:left w:val="none" w:sz="0" w:space="0" w:color="auto"/>
                            <w:bottom w:val="none" w:sz="0" w:space="0" w:color="auto"/>
                            <w:right w:val="none" w:sz="0" w:space="0" w:color="auto"/>
                          </w:divBdr>
                          <w:divsChild>
                            <w:div w:id="10567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4527">
              <w:marLeft w:val="0"/>
              <w:marRight w:val="0"/>
              <w:marTop w:val="0"/>
              <w:marBottom w:val="0"/>
              <w:divBdr>
                <w:top w:val="none" w:sz="0" w:space="0" w:color="auto"/>
                <w:left w:val="none" w:sz="0" w:space="0" w:color="auto"/>
                <w:bottom w:val="none" w:sz="0" w:space="0" w:color="auto"/>
                <w:right w:val="none" w:sz="0" w:space="0" w:color="auto"/>
              </w:divBdr>
              <w:divsChild>
                <w:div w:id="1684896319">
                  <w:marLeft w:val="0"/>
                  <w:marRight w:val="0"/>
                  <w:marTop w:val="0"/>
                  <w:marBottom w:val="0"/>
                  <w:divBdr>
                    <w:top w:val="none" w:sz="0" w:space="0" w:color="auto"/>
                    <w:left w:val="none" w:sz="0" w:space="0" w:color="auto"/>
                    <w:bottom w:val="none" w:sz="0" w:space="0" w:color="auto"/>
                    <w:right w:val="none" w:sz="0" w:space="0" w:color="auto"/>
                  </w:divBdr>
                  <w:divsChild>
                    <w:div w:id="335110340">
                      <w:marLeft w:val="0"/>
                      <w:marRight w:val="0"/>
                      <w:marTop w:val="0"/>
                      <w:marBottom w:val="0"/>
                      <w:divBdr>
                        <w:top w:val="none" w:sz="0" w:space="0" w:color="auto"/>
                        <w:left w:val="none" w:sz="0" w:space="0" w:color="auto"/>
                        <w:bottom w:val="none" w:sz="0" w:space="0" w:color="auto"/>
                        <w:right w:val="none" w:sz="0" w:space="0" w:color="auto"/>
                      </w:divBdr>
                      <w:divsChild>
                        <w:div w:id="1945457463">
                          <w:marLeft w:val="0"/>
                          <w:marRight w:val="0"/>
                          <w:marTop w:val="0"/>
                          <w:marBottom w:val="0"/>
                          <w:divBdr>
                            <w:top w:val="none" w:sz="0" w:space="0" w:color="auto"/>
                            <w:left w:val="none" w:sz="0" w:space="0" w:color="auto"/>
                            <w:bottom w:val="none" w:sz="0" w:space="0" w:color="auto"/>
                            <w:right w:val="none" w:sz="0" w:space="0" w:color="auto"/>
                          </w:divBdr>
                          <w:divsChild>
                            <w:div w:id="3390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977191">
          <w:marLeft w:val="0"/>
          <w:marRight w:val="0"/>
          <w:marTop w:val="0"/>
          <w:marBottom w:val="0"/>
          <w:divBdr>
            <w:top w:val="none" w:sz="0" w:space="0" w:color="auto"/>
            <w:left w:val="none" w:sz="0" w:space="0" w:color="auto"/>
            <w:bottom w:val="none" w:sz="0" w:space="0" w:color="auto"/>
            <w:right w:val="none" w:sz="0" w:space="0" w:color="auto"/>
          </w:divBdr>
          <w:divsChild>
            <w:div w:id="1467240334">
              <w:marLeft w:val="0"/>
              <w:marRight w:val="0"/>
              <w:marTop w:val="0"/>
              <w:marBottom w:val="0"/>
              <w:divBdr>
                <w:top w:val="none" w:sz="0" w:space="0" w:color="auto"/>
                <w:left w:val="none" w:sz="0" w:space="0" w:color="auto"/>
                <w:bottom w:val="none" w:sz="0" w:space="0" w:color="auto"/>
                <w:right w:val="none" w:sz="0" w:space="0" w:color="auto"/>
              </w:divBdr>
              <w:divsChild>
                <w:div w:id="171844669">
                  <w:marLeft w:val="0"/>
                  <w:marRight w:val="0"/>
                  <w:marTop w:val="0"/>
                  <w:marBottom w:val="0"/>
                  <w:divBdr>
                    <w:top w:val="none" w:sz="0" w:space="0" w:color="auto"/>
                    <w:left w:val="none" w:sz="0" w:space="0" w:color="auto"/>
                    <w:bottom w:val="none" w:sz="0" w:space="0" w:color="auto"/>
                    <w:right w:val="none" w:sz="0" w:space="0" w:color="auto"/>
                  </w:divBdr>
                  <w:divsChild>
                    <w:div w:id="98531507">
                      <w:marLeft w:val="0"/>
                      <w:marRight w:val="0"/>
                      <w:marTop w:val="0"/>
                      <w:marBottom w:val="0"/>
                      <w:divBdr>
                        <w:top w:val="none" w:sz="0" w:space="0" w:color="auto"/>
                        <w:left w:val="none" w:sz="0" w:space="0" w:color="auto"/>
                        <w:bottom w:val="none" w:sz="0" w:space="0" w:color="auto"/>
                        <w:right w:val="none" w:sz="0" w:space="0" w:color="auto"/>
                      </w:divBdr>
                    </w:div>
                    <w:div w:id="1797941169">
                      <w:marLeft w:val="0"/>
                      <w:marRight w:val="0"/>
                      <w:marTop w:val="0"/>
                      <w:marBottom w:val="600"/>
                      <w:divBdr>
                        <w:top w:val="none" w:sz="0" w:space="0" w:color="auto"/>
                        <w:left w:val="none" w:sz="0" w:space="0" w:color="auto"/>
                        <w:bottom w:val="none" w:sz="0" w:space="0" w:color="auto"/>
                        <w:right w:val="none" w:sz="0" w:space="0" w:color="auto"/>
                      </w:divBdr>
                      <w:divsChild>
                        <w:div w:id="2724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har.com/arabic/section/76-%D8%B3%D9%8A%D8%A7%D8%B3%D8%A9/22122022081319029" TargetMode="External"/><Relationship Id="rId3" Type="http://schemas.openxmlformats.org/officeDocument/2006/relationships/settings" Target="settings.xml"/><Relationship Id="rId7" Type="http://schemas.openxmlformats.org/officeDocument/2006/relationships/hyperlink" Target="https://www.annahar.com/arabic/news/listing?tag=%d8%b1%d8%a6%d8%a7%d8%b3%d8%a9+%d8%a7%d9%84%d8%ac%d9%85%d9%87%d9%88%d8%b1%d9%8a%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nahar.com/arabic/news/listing?tag=%d8%a7%d9%84%d8%aa%d9%8a%d8%a7%d8%b1+%d8%a7%d9%84%d9%88%d8%b7%d9%86%d9%8a+%d8%a7%d9%84%d8%ad%d8%b1" TargetMode="External"/><Relationship Id="rId5" Type="http://schemas.openxmlformats.org/officeDocument/2006/relationships/hyperlink" Target="https://www.annahar.com/arabic/authors/%D8%B9%D8%A8%D8%A7%D8%B3-%D8%B5%D8%A8%D8%A7%D8%B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926</Words>
  <Characters>5280</Characters>
  <Application>Microsoft Office Word</Application>
  <DocSecurity>0</DocSecurity>
  <Lines>44</Lines>
  <Paragraphs>12</Paragraphs>
  <ScaleCrop>false</ScaleCrop>
  <Company>SACC</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6</cp:revision>
  <dcterms:created xsi:type="dcterms:W3CDTF">2022-12-23T07:19:00Z</dcterms:created>
  <dcterms:modified xsi:type="dcterms:W3CDTF">2022-12-23T09:32:00Z</dcterms:modified>
</cp:coreProperties>
</file>