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B63" w:rsidRPr="00626B63" w:rsidRDefault="00626B63" w:rsidP="00626B63">
      <w:pPr>
        <w:bidi/>
        <w:spacing w:after="0" w:line="320" w:lineRule="atLeast"/>
        <w:jc w:val="center"/>
        <w:rPr>
          <w:rFonts w:ascii="Times New Roman" w:eastAsia="Times New Roman" w:hAnsi="Times New Roman" w:cs="Times New Roman"/>
          <w:b/>
          <w:bCs/>
          <w:color w:val="153347"/>
          <w:sz w:val="26"/>
          <w:szCs w:val="26"/>
        </w:rPr>
      </w:pPr>
      <w:r w:rsidRPr="00626B63">
        <w:rPr>
          <w:rFonts w:ascii="Times New Roman" w:eastAsia="Times New Roman" w:hAnsi="Times New Roman" w:cs="Times New Roman"/>
          <w:b/>
          <w:bCs/>
          <w:color w:val="153347"/>
          <w:sz w:val="26"/>
          <w:szCs w:val="26"/>
          <w:rtl/>
        </w:rPr>
        <w:t>استشارة رقم </w:t>
      </w:r>
      <w:r w:rsidRPr="00626B63">
        <w:rPr>
          <w:rFonts w:ascii="Akhbar MT" w:eastAsia="Times New Roman" w:hAnsi="Akhbar MT" w:cs="Times New Roman"/>
          <w:b/>
          <w:bCs/>
          <w:color w:val="153347"/>
          <w:sz w:val="52"/>
          <w:szCs w:val="52"/>
          <w:rtl/>
        </w:rPr>
        <w:t>741</w:t>
      </w:r>
    </w:p>
    <w:p w:rsidR="00626B63" w:rsidRPr="00626B63" w:rsidRDefault="00626B63" w:rsidP="00626B63">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626B63">
        <w:rPr>
          <w:rFonts w:ascii="Times New Roman" w:eastAsia="Times New Roman" w:hAnsi="Times New Roman" w:cs="Times New Roman"/>
          <w:color w:val="000000"/>
          <w:sz w:val="27"/>
          <w:szCs w:val="27"/>
          <w:rtl/>
        </w:rPr>
        <w:t>تاريخ 28/09/2015</w:t>
      </w:r>
    </w:p>
    <w:p w:rsidR="00626B63" w:rsidRPr="00626B63" w:rsidRDefault="00626B63" w:rsidP="00626B63">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626B63">
        <w:rPr>
          <w:rFonts w:ascii="Times New Roman" w:eastAsia="Times New Roman" w:hAnsi="Times New Roman" w:cs="Times New Roman"/>
          <w:b/>
          <w:bCs/>
          <w:color w:val="000000"/>
          <w:sz w:val="26"/>
          <w:szCs w:val="26"/>
          <w:rtl/>
        </w:rPr>
        <w:t>الهيئة: الرئيس ماري دنيز المعوشي.</w:t>
      </w:r>
    </w:p>
    <w:p w:rsidR="00626B63" w:rsidRPr="00626B63" w:rsidRDefault="00626B63" w:rsidP="00626B63">
      <w:pPr>
        <w:bidi/>
        <w:spacing w:after="0" w:line="300" w:lineRule="atLeast"/>
        <w:ind w:hanging="980"/>
        <w:rPr>
          <w:rFonts w:ascii="Times New Roman" w:eastAsia="Times New Roman" w:hAnsi="Times New Roman" w:cs="Times New Roman"/>
          <w:b/>
          <w:bCs/>
          <w:color w:val="000000"/>
          <w:sz w:val="30"/>
          <w:szCs w:val="30"/>
          <w:rtl/>
        </w:rPr>
      </w:pPr>
      <w:bookmarkStart w:id="2" w:name="Anchor10"/>
      <w:bookmarkEnd w:id="2"/>
      <w:r w:rsidRPr="00626B63">
        <w:rPr>
          <w:rFonts w:ascii="Times New Roman" w:eastAsia="Times New Roman" w:hAnsi="Times New Roman" w:cs="Times New Roman"/>
          <w:b/>
          <w:bCs/>
          <w:color w:val="000000"/>
          <w:sz w:val="30"/>
          <w:szCs w:val="30"/>
          <w:rtl/>
        </w:rPr>
        <w:t>طالب الرأي: وزير التربية والتعليم العالي.</w:t>
      </w:r>
    </w:p>
    <w:p w:rsidR="00626B63" w:rsidRPr="00626B63" w:rsidRDefault="00626B63" w:rsidP="00626B63">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5"/>
      <w:bookmarkEnd w:id="3"/>
      <w:r w:rsidRPr="00626B63">
        <w:rPr>
          <w:rFonts w:ascii="Times New Roman" w:eastAsia="Times New Roman" w:hAnsi="Times New Roman" w:cs="Times New Roman"/>
          <w:b/>
          <w:bCs/>
          <w:color w:val="000000"/>
          <w:sz w:val="26"/>
          <w:szCs w:val="26"/>
          <w:rtl/>
        </w:rPr>
        <w:t xml:space="preserve">الموضوع: معرفة مدى قانونية </w:t>
      </w:r>
      <w:bookmarkStart w:id="4" w:name="_GoBack"/>
      <w:r w:rsidRPr="00626B63">
        <w:rPr>
          <w:rFonts w:ascii="Times New Roman" w:eastAsia="Times New Roman" w:hAnsi="Times New Roman" w:cs="Times New Roman"/>
          <w:b/>
          <w:bCs/>
          <w:color w:val="000000"/>
          <w:sz w:val="26"/>
          <w:szCs w:val="26"/>
          <w:rtl/>
        </w:rPr>
        <w:t>اعتبار الاساتذة اطباء الأسنان متفرغين فعلياً في الجامعة اللبنانية وحقهم بالانتساب الى صندوق التعاضد والاستفادة من كافة تقديماته وخدماته في ظل عدم اقرار الآلية من مجلس الجامعة التي تؤكد تفرغهم في الجامعة اللبنانية، رغم استمرارهم بممارسة مهنتهم في عياداتهم الخاصة</w:t>
      </w:r>
      <w:bookmarkEnd w:id="4"/>
      <w:r w:rsidRPr="00626B63">
        <w:rPr>
          <w:rFonts w:ascii="Times New Roman" w:eastAsia="Times New Roman" w:hAnsi="Times New Roman" w:cs="Times New Roman"/>
          <w:b/>
          <w:bCs/>
          <w:color w:val="000000"/>
          <w:sz w:val="26"/>
          <w:szCs w:val="26"/>
          <w:rtl/>
        </w:rPr>
        <w:t>، وانتسابهم الحكمي الى صندوق نقابة أطباء الأسنان.</w:t>
      </w:r>
    </w:p>
    <w:bookmarkStart w:id="5" w:name="Anchor52"/>
    <w:bookmarkEnd w:id="5"/>
    <w:p w:rsidR="00626B63" w:rsidRPr="00626B63" w:rsidRDefault="00626B63" w:rsidP="00626B63">
      <w:pPr>
        <w:bidi/>
        <w:spacing w:after="0" w:line="320" w:lineRule="atLeast"/>
        <w:ind w:hanging="280"/>
        <w:rPr>
          <w:rFonts w:ascii="Times New Roman" w:eastAsia="Times New Roman" w:hAnsi="Times New Roman" w:cs="Times New Roman"/>
          <w:b/>
          <w:bCs/>
          <w:color w:val="000000"/>
          <w:sz w:val="26"/>
          <w:szCs w:val="26"/>
          <w:rtl/>
        </w:rPr>
      </w:pPr>
      <w:r w:rsidRPr="00626B63">
        <w:rPr>
          <w:rFonts w:ascii="Times New Roman" w:eastAsia="Times New Roman" w:hAnsi="Times New Roman" w:cs="Times New Roman"/>
          <w:b/>
          <w:bCs/>
          <w:color w:val="000000"/>
          <w:sz w:val="26"/>
          <w:szCs w:val="26"/>
          <w:rtl/>
        </w:rPr>
        <w:fldChar w:fldCharType="begin"/>
      </w:r>
      <w:r w:rsidRPr="00626B63">
        <w:rPr>
          <w:rFonts w:ascii="Times New Roman" w:eastAsia="Times New Roman" w:hAnsi="Times New Roman" w:cs="Times New Roman"/>
          <w:b/>
          <w:bCs/>
          <w:color w:val="000000"/>
          <w:sz w:val="26"/>
          <w:szCs w:val="26"/>
          <w:rtl/>
        </w:rPr>
        <w:instrText xml:space="preserve"> </w:instrText>
      </w:r>
      <w:r w:rsidRPr="00626B63">
        <w:rPr>
          <w:rFonts w:ascii="Times New Roman" w:eastAsia="Times New Roman" w:hAnsi="Times New Roman" w:cs="Times New Roman"/>
          <w:b/>
          <w:bCs/>
          <w:color w:val="000000"/>
          <w:sz w:val="26"/>
          <w:szCs w:val="26"/>
        </w:rPr>
        <w:instrText>HYPERLINK "https://lebanon.saderlex.com/Leb_CLB/%D8%B3%D9%86%D8%A9%202015/09998I_2015-09-28_00741_Ist.html" \l "TM2015_741_1"</w:instrText>
      </w:r>
      <w:r w:rsidRPr="00626B63">
        <w:rPr>
          <w:rFonts w:ascii="Times New Roman" w:eastAsia="Times New Roman" w:hAnsi="Times New Roman" w:cs="Times New Roman"/>
          <w:b/>
          <w:bCs/>
          <w:color w:val="000000"/>
          <w:sz w:val="26"/>
          <w:szCs w:val="26"/>
          <w:rtl/>
        </w:rPr>
        <w:instrText xml:space="preserve"> </w:instrText>
      </w:r>
      <w:r w:rsidRPr="00626B63">
        <w:rPr>
          <w:rFonts w:ascii="Times New Roman" w:eastAsia="Times New Roman" w:hAnsi="Times New Roman" w:cs="Times New Roman"/>
          <w:b/>
          <w:bCs/>
          <w:color w:val="000000"/>
          <w:sz w:val="26"/>
          <w:szCs w:val="26"/>
          <w:rtl/>
        </w:rPr>
        <w:fldChar w:fldCharType="separate"/>
      </w:r>
      <w:r w:rsidRPr="00626B63">
        <w:rPr>
          <w:rFonts w:ascii="Times New Roman" w:eastAsia="Times New Roman" w:hAnsi="Times New Roman" w:cs="Times New Roman"/>
          <w:b/>
          <w:bCs/>
          <w:color w:val="0000FF"/>
          <w:sz w:val="26"/>
          <w:szCs w:val="26"/>
          <w:u w:val="single"/>
          <w:rtl/>
        </w:rPr>
        <w:t>1- اعتبار مجرّد تفرّغ الاساتذة أطباء الأسنان للعمل في الجامعة اللبنانية كافياً بذاته لجعلهم موظفين عموميين خاضعون لتشريع الوظيفة العامة وتحديداً للتشريع الخاص بالجامعة اللبنانية وبصندوق تعاضد أفراد هيئتها التعليمية شرط ثبوت هذا التفرّغ.</w:t>
      </w:r>
      <w:r w:rsidRPr="00626B63">
        <w:rPr>
          <w:rFonts w:ascii="Times New Roman" w:eastAsia="Times New Roman" w:hAnsi="Times New Roman" w:cs="Times New Roman"/>
          <w:b/>
          <w:bCs/>
          <w:color w:val="000000"/>
          <w:sz w:val="26"/>
          <w:szCs w:val="26"/>
          <w:rtl/>
        </w:rPr>
        <w:fldChar w:fldCharType="end"/>
      </w:r>
    </w:p>
    <w:bookmarkStart w:id="6" w:name="Anchor80"/>
    <w:bookmarkEnd w:id="6"/>
    <w:p w:rsidR="00626B63" w:rsidRPr="00626B63" w:rsidRDefault="00626B63" w:rsidP="00626B63">
      <w:pPr>
        <w:bidi/>
        <w:spacing w:after="0" w:line="320" w:lineRule="atLeast"/>
        <w:ind w:hanging="280"/>
        <w:rPr>
          <w:rFonts w:ascii="Times New Roman" w:eastAsia="Times New Roman" w:hAnsi="Times New Roman" w:cs="Times New Roman"/>
          <w:b/>
          <w:bCs/>
          <w:color w:val="000000"/>
          <w:sz w:val="26"/>
          <w:szCs w:val="26"/>
          <w:rtl/>
        </w:rPr>
      </w:pPr>
      <w:r w:rsidRPr="00626B63">
        <w:rPr>
          <w:rFonts w:ascii="Times New Roman" w:eastAsia="Times New Roman" w:hAnsi="Times New Roman" w:cs="Times New Roman"/>
          <w:b/>
          <w:bCs/>
          <w:color w:val="000000"/>
          <w:sz w:val="26"/>
          <w:szCs w:val="26"/>
          <w:rtl/>
        </w:rPr>
        <w:fldChar w:fldCharType="begin"/>
      </w:r>
      <w:r w:rsidRPr="00626B63">
        <w:rPr>
          <w:rFonts w:ascii="Times New Roman" w:eastAsia="Times New Roman" w:hAnsi="Times New Roman" w:cs="Times New Roman"/>
          <w:b/>
          <w:bCs/>
          <w:color w:val="000000"/>
          <w:sz w:val="26"/>
          <w:szCs w:val="26"/>
          <w:rtl/>
        </w:rPr>
        <w:instrText xml:space="preserve"> </w:instrText>
      </w:r>
      <w:r w:rsidRPr="00626B63">
        <w:rPr>
          <w:rFonts w:ascii="Times New Roman" w:eastAsia="Times New Roman" w:hAnsi="Times New Roman" w:cs="Times New Roman"/>
          <w:b/>
          <w:bCs/>
          <w:color w:val="000000"/>
          <w:sz w:val="26"/>
          <w:szCs w:val="26"/>
        </w:rPr>
        <w:instrText>HYPERLINK "https://lebanon.saderlex.com/Leb_CLB/%D8%B3%D9%86%D8%A9%202015/09998I_2015-09-28_00741_Ist.html" \l "TM2015_741_2"</w:instrText>
      </w:r>
      <w:r w:rsidRPr="00626B63">
        <w:rPr>
          <w:rFonts w:ascii="Times New Roman" w:eastAsia="Times New Roman" w:hAnsi="Times New Roman" w:cs="Times New Roman"/>
          <w:b/>
          <w:bCs/>
          <w:color w:val="000000"/>
          <w:sz w:val="26"/>
          <w:szCs w:val="26"/>
          <w:rtl/>
        </w:rPr>
        <w:instrText xml:space="preserve"> </w:instrText>
      </w:r>
      <w:r w:rsidRPr="00626B63">
        <w:rPr>
          <w:rFonts w:ascii="Times New Roman" w:eastAsia="Times New Roman" w:hAnsi="Times New Roman" w:cs="Times New Roman"/>
          <w:b/>
          <w:bCs/>
          <w:color w:val="000000"/>
          <w:sz w:val="26"/>
          <w:szCs w:val="26"/>
          <w:rtl/>
        </w:rPr>
        <w:fldChar w:fldCharType="separate"/>
      </w:r>
      <w:r w:rsidRPr="00626B63">
        <w:rPr>
          <w:rFonts w:ascii="Times New Roman" w:eastAsia="Times New Roman" w:hAnsi="Times New Roman" w:cs="Times New Roman"/>
          <w:b/>
          <w:bCs/>
          <w:color w:val="0000FF"/>
          <w:sz w:val="26"/>
          <w:szCs w:val="26"/>
          <w:u w:val="single"/>
          <w:rtl/>
        </w:rPr>
        <w:t>2- اعتبار مجرّد استمرار الاساتذة أطباء الأسنان بممارسة مهنة طب الأسنان في عياداتهم الخاصة من شأنه نزع صفة الأستاذ المتفرغ او المتعاقد بالتفرّغ في الجامعة اللبنانية عنهم واستمرار استفادتهم من تقديمات صندوقهم النقابي لا صندوق تعاضد أفراد الهيئة التعليمية على خلاف حالة تفرغهم للعمل في الجامعة اللبنانية.</w:t>
      </w:r>
      <w:r w:rsidRPr="00626B63">
        <w:rPr>
          <w:rFonts w:ascii="Times New Roman" w:eastAsia="Times New Roman" w:hAnsi="Times New Roman" w:cs="Times New Roman"/>
          <w:b/>
          <w:bCs/>
          <w:color w:val="000000"/>
          <w:sz w:val="26"/>
          <w:szCs w:val="26"/>
          <w:rtl/>
        </w:rPr>
        <w:fldChar w:fldCharType="end"/>
      </w:r>
    </w:p>
    <w:p w:rsidR="00626B63" w:rsidRPr="00626B63" w:rsidRDefault="00626B63" w:rsidP="00626B63">
      <w:pPr>
        <w:bidi/>
        <w:spacing w:after="0" w:line="260" w:lineRule="atLeast"/>
        <w:ind w:firstLine="220"/>
        <w:rPr>
          <w:rFonts w:ascii="Times New Roman" w:eastAsia="Times New Roman" w:hAnsi="Times New Roman" w:cs="Times New Roman"/>
          <w:color w:val="000000"/>
          <w:sz w:val="27"/>
          <w:szCs w:val="27"/>
          <w:rtl/>
        </w:rPr>
      </w:pPr>
      <w:bookmarkStart w:id="7" w:name="Anchor111"/>
      <w:bookmarkEnd w:id="7"/>
      <w:r w:rsidRPr="00626B63">
        <w:rPr>
          <w:rFonts w:ascii="Times New Roman" w:eastAsia="Times New Roman" w:hAnsi="Times New Roman" w:cs="Times New Roman"/>
          <w:color w:val="000000"/>
          <w:sz w:val="27"/>
          <w:szCs w:val="27"/>
          <w:rtl/>
        </w:rPr>
        <w:t>بنــاء عليه،</w:t>
      </w:r>
    </w:p>
    <w:p w:rsidR="00626B63" w:rsidRPr="00626B63" w:rsidRDefault="00626B63" w:rsidP="00626B63">
      <w:pPr>
        <w:bidi/>
        <w:spacing w:after="0" w:line="260" w:lineRule="atLeast"/>
        <w:ind w:firstLine="220"/>
        <w:rPr>
          <w:rFonts w:ascii="Times New Roman" w:eastAsia="Times New Roman" w:hAnsi="Times New Roman" w:cs="Times New Roman"/>
          <w:color w:val="000000"/>
          <w:sz w:val="27"/>
          <w:szCs w:val="27"/>
          <w:rtl/>
        </w:rPr>
      </w:pPr>
      <w:bookmarkStart w:id="8" w:name="Anchor113"/>
      <w:bookmarkEnd w:id="8"/>
      <w:r w:rsidRPr="00626B63">
        <w:rPr>
          <w:rFonts w:ascii="Times New Roman" w:eastAsia="Times New Roman" w:hAnsi="Times New Roman" w:cs="Times New Roman"/>
          <w:color w:val="000000"/>
          <w:sz w:val="27"/>
          <w:szCs w:val="27"/>
          <w:rtl/>
        </w:rPr>
        <w:t>حيث ان المسألة المطروحة على استشارة هذه الهيئة تتناول معرفة مدى قانونية اعتبار الاساتذة اطباء الأسنان متفرغين فعلياً في الجامعة اللبنانية وحقهم بالانتساب الى صندوق التعاضد والاستفادة من كافة تقديماته وخدماته في ظل عدم اقرار الآلية من مجلس الجامعة التي تؤكد تفرغهم في الجامعة اللبنانية، رغم استمرارهم بممارسة مهنتهم في عياداتهم الخاصة، وانتسابهم الحكمي الى صندوق نقابة أطباء الأسنان.</w:t>
      </w:r>
    </w:p>
    <w:p w:rsidR="00626B63" w:rsidRPr="00626B63" w:rsidRDefault="00626B63" w:rsidP="00626B63">
      <w:pPr>
        <w:bidi/>
        <w:spacing w:after="0" w:line="260" w:lineRule="atLeast"/>
        <w:ind w:firstLine="220"/>
        <w:rPr>
          <w:rFonts w:ascii="Times New Roman" w:eastAsia="Times New Roman" w:hAnsi="Times New Roman" w:cs="Times New Roman"/>
          <w:color w:val="000000"/>
          <w:sz w:val="27"/>
          <w:szCs w:val="27"/>
          <w:rtl/>
        </w:rPr>
      </w:pPr>
      <w:bookmarkStart w:id="9" w:name="Anchor154"/>
      <w:bookmarkStart w:id="10" w:name="TM2015_741_1"/>
      <w:bookmarkEnd w:id="9"/>
      <w:bookmarkEnd w:id="10"/>
      <w:r w:rsidRPr="00626B63">
        <w:rPr>
          <w:rFonts w:ascii="Times New Roman" w:eastAsia="Times New Roman" w:hAnsi="Times New Roman" w:cs="Times New Roman"/>
          <w:b/>
          <w:bCs/>
          <w:color w:val="000000"/>
          <w:sz w:val="26"/>
          <w:szCs w:val="26"/>
          <w:rtl/>
        </w:rPr>
        <w:t>حيث ان هذه الهيئة اذ تتبنى الرأي الاستشاري الصادر عن ديوان المحاسبة تحت رقم 52/2008 تاريخ 17/7/2008، تضيف ان مجرّد تفرّغ الاساتذة أطباء الأسنان للعمل في الجامعة اللبنانية، يكفي بذاته، دونما حاجة بالضرورة الى اقرار أية آلية بشأن شروط التفرّغ ومزاولة مهنة التدريس والأبحاث والأعمال التطبيقية في الجامعة من قبل مجلس الجامعة، ولكن شرط أن يكون تفرّغ هؤلاء أطباء الأسنان ثابتاً، يجعل منهم موظفين عموميين يخضعون في كل شاردة وواردة لتشريع الوظيفة العامة، وتحديداً للتشريع الخاص بالجامعة اللبنانية وبصندوق تعاضد أفراد هيئتها التعليمية،</w:t>
      </w:r>
    </w:p>
    <w:p w:rsidR="00626B63" w:rsidRPr="00626B63" w:rsidRDefault="00626B63" w:rsidP="00626B63">
      <w:pPr>
        <w:bidi/>
        <w:spacing w:after="0" w:line="260" w:lineRule="atLeast"/>
        <w:ind w:firstLine="220"/>
        <w:rPr>
          <w:rFonts w:ascii="Times New Roman" w:eastAsia="Times New Roman" w:hAnsi="Times New Roman" w:cs="Times New Roman"/>
          <w:color w:val="000000"/>
          <w:sz w:val="27"/>
          <w:szCs w:val="27"/>
          <w:rtl/>
        </w:rPr>
      </w:pPr>
      <w:bookmarkStart w:id="11" w:name="Anchor206"/>
      <w:bookmarkStart w:id="12" w:name="TM2015_741_2"/>
      <w:bookmarkEnd w:id="11"/>
      <w:bookmarkEnd w:id="12"/>
      <w:r w:rsidRPr="00626B63">
        <w:rPr>
          <w:rFonts w:ascii="Times New Roman" w:eastAsia="Times New Roman" w:hAnsi="Times New Roman" w:cs="Times New Roman"/>
          <w:b/>
          <w:bCs/>
          <w:color w:val="000000"/>
          <w:sz w:val="26"/>
          <w:szCs w:val="26"/>
          <w:rtl/>
        </w:rPr>
        <w:t>حيث ان مجرّد استمرار الاساتذة أطباء الأسنان المشار اليهم بممارسة مهنة طب الأسنان في عياداتهم الخاصة ينزع عنهم صفة الأستاذ المتفرغ او المتعاقد بالتفرّغ في الجامعة اللبنانية، مع كل ما يترتب على ذلك من نتائج قانونية، وخاصة استمرار استفادتهم من تقديمات صندوقهم النقابي وليس صندوق تعاضد أفراد الهيئة التعليمية،</w:t>
      </w:r>
    </w:p>
    <w:p w:rsidR="00626B63" w:rsidRPr="00626B63" w:rsidRDefault="00626B63" w:rsidP="00626B63">
      <w:pPr>
        <w:bidi/>
        <w:spacing w:after="0" w:line="260" w:lineRule="atLeast"/>
        <w:ind w:firstLine="220"/>
        <w:rPr>
          <w:rFonts w:ascii="Times New Roman" w:eastAsia="Times New Roman" w:hAnsi="Times New Roman" w:cs="Times New Roman"/>
          <w:color w:val="000000"/>
          <w:sz w:val="27"/>
          <w:szCs w:val="27"/>
          <w:rtl/>
        </w:rPr>
      </w:pPr>
      <w:bookmarkStart w:id="13" w:name="Anchor237"/>
      <w:bookmarkEnd w:id="13"/>
      <w:r w:rsidRPr="00626B63">
        <w:rPr>
          <w:rFonts w:ascii="Times New Roman" w:eastAsia="Times New Roman" w:hAnsi="Times New Roman" w:cs="Times New Roman"/>
          <w:b/>
          <w:bCs/>
          <w:color w:val="000000"/>
          <w:sz w:val="26"/>
          <w:szCs w:val="26"/>
          <w:rtl/>
        </w:rPr>
        <w:t>أما في حال كان هؤلاء متفرغين للعمل في الجامعة اللبنانية فيكونون منتسبين الى صندوق التعاضد حكماً ويستفيدون من كافة تقديماته لقاء دفعهم الاشتراكات المتوجبة عليهم،</w:t>
      </w:r>
    </w:p>
    <w:p w:rsidR="00626B63" w:rsidRPr="00626B63" w:rsidRDefault="00626B63" w:rsidP="00626B63">
      <w:pPr>
        <w:bidi/>
        <w:spacing w:after="0" w:line="260" w:lineRule="atLeast"/>
        <w:ind w:firstLine="220"/>
        <w:rPr>
          <w:rFonts w:ascii="Times New Roman" w:eastAsia="Times New Roman" w:hAnsi="Times New Roman" w:cs="Times New Roman"/>
          <w:color w:val="000000"/>
          <w:sz w:val="27"/>
          <w:szCs w:val="27"/>
          <w:rtl/>
        </w:rPr>
      </w:pPr>
      <w:bookmarkStart w:id="14" w:name="Anchor256"/>
      <w:bookmarkEnd w:id="14"/>
      <w:r w:rsidRPr="00626B63">
        <w:rPr>
          <w:rFonts w:ascii="Times New Roman" w:eastAsia="Times New Roman" w:hAnsi="Times New Roman" w:cs="Times New Roman"/>
          <w:b/>
          <w:bCs/>
          <w:color w:val="000000"/>
          <w:sz w:val="26"/>
          <w:szCs w:val="26"/>
          <w:rtl/>
        </w:rPr>
        <w:t>حيث في جميع الأحوال لا يجوز الجمع بين تقديمات أي من الصندوقين،</w:t>
      </w:r>
    </w:p>
    <w:p w:rsidR="00626B63" w:rsidRPr="00626B63" w:rsidRDefault="00626B63" w:rsidP="00626B63">
      <w:pPr>
        <w:bidi/>
        <w:spacing w:after="0" w:line="260" w:lineRule="atLeast"/>
        <w:ind w:firstLine="220"/>
        <w:rPr>
          <w:rFonts w:ascii="Times New Roman" w:eastAsia="Times New Roman" w:hAnsi="Times New Roman" w:cs="Times New Roman"/>
          <w:color w:val="000000"/>
          <w:sz w:val="27"/>
          <w:szCs w:val="27"/>
          <w:rtl/>
        </w:rPr>
      </w:pPr>
      <w:bookmarkStart w:id="15" w:name="Anchor263"/>
      <w:bookmarkEnd w:id="15"/>
      <w:r w:rsidRPr="00626B63">
        <w:rPr>
          <w:rFonts w:ascii="Times New Roman" w:eastAsia="Times New Roman" w:hAnsi="Times New Roman" w:cs="Times New Roman"/>
          <w:color w:val="000000"/>
          <w:sz w:val="27"/>
          <w:szCs w:val="27"/>
          <w:rtl/>
        </w:rPr>
        <w:t>لذلك</w:t>
      </w:r>
    </w:p>
    <w:p w:rsidR="00626B63" w:rsidRPr="00626B63" w:rsidRDefault="00626B63" w:rsidP="00626B63">
      <w:pPr>
        <w:bidi/>
        <w:spacing w:after="0" w:line="260" w:lineRule="atLeast"/>
        <w:ind w:firstLine="220"/>
        <w:rPr>
          <w:rFonts w:ascii="Times New Roman" w:eastAsia="Times New Roman" w:hAnsi="Times New Roman" w:cs="Times New Roman"/>
          <w:color w:val="000000"/>
          <w:sz w:val="27"/>
          <w:szCs w:val="27"/>
          <w:rtl/>
        </w:rPr>
      </w:pPr>
      <w:bookmarkStart w:id="16" w:name="Anchor264"/>
      <w:bookmarkEnd w:id="16"/>
      <w:r w:rsidRPr="00626B63">
        <w:rPr>
          <w:rFonts w:ascii="Times New Roman" w:eastAsia="Times New Roman" w:hAnsi="Times New Roman" w:cs="Times New Roman"/>
          <w:color w:val="000000"/>
          <w:sz w:val="27"/>
          <w:szCs w:val="27"/>
          <w:rtl/>
        </w:rPr>
        <w:t>تبدي الهيئة استشارتها المطلوبة على الوجه المبين اعلاه،</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63"/>
    <w:rsid w:val="00626B63"/>
    <w:rsid w:val="00E1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806BA-0F1E-41DA-A1C9-BDF61BC1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6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46888">
      <w:bodyDiv w:val="1"/>
      <w:marLeft w:val="0"/>
      <w:marRight w:val="0"/>
      <w:marTop w:val="0"/>
      <w:marBottom w:val="0"/>
      <w:divBdr>
        <w:top w:val="none" w:sz="0" w:space="0" w:color="auto"/>
        <w:left w:val="none" w:sz="0" w:space="0" w:color="auto"/>
        <w:bottom w:val="none" w:sz="0" w:space="0" w:color="auto"/>
        <w:right w:val="none" w:sz="0" w:space="0" w:color="auto"/>
      </w:divBdr>
      <w:divsChild>
        <w:div w:id="2064911315">
          <w:marLeft w:val="0"/>
          <w:marRight w:val="0"/>
          <w:marTop w:val="140"/>
          <w:marBottom w:val="0"/>
          <w:divBdr>
            <w:top w:val="none" w:sz="0" w:space="0" w:color="auto"/>
            <w:left w:val="none" w:sz="0" w:space="0" w:color="auto"/>
            <w:bottom w:val="none" w:sz="0" w:space="0" w:color="auto"/>
            <w:right w:val="none" w:sz="0" w:space="0" w:color="auto"/>
          </w:divBdr>
        </w:div>
        <w:div w:id="965238204">
          <w:marLeft w:val="0"/>
          <w:marRight w:val="0"/>
          <w:marTop w:val="40"/>
          <w:marBottom w:val="0"/>
          <w:divBdr>
            <w:top w:val="none" w:sz="0" w:space="0" w:color="auto"/>
            <w:left w:val="none" w:sz="0" w:space="0" w:color="auto"/>
            <w:bottom w:val="none" w:sz="0" w:space="0" w:color="auto"/>
            <w:right w:val="none" w:sz="0" w:space="0" w:color="auto"/>
          </w:divBdr>
        </w:div>
        <w:div w:id="409304611">
          <w:marLeft w:val="0"/>
          <w:marRight w:val="1260"/>
          <w:marTop w:val="240"/>
          <w:marBottom w:val="0"/>
          <w:divBdr>
            <w:top w:val="none" w:sz="0" w:space="0" w:color="auto"/>
            <w:left w:val="none" w:sz="0" w:space="0" w:color="auto"/>
            <w:bottom w:val="none" w:sz="0" w:space="0" w:color="auto"/>
            <w:right w:val="none" w:sz="0" w:space="0" w:color="auto"/>
          </w:divBdr>
        </w:div>
        <w:div w:id="1134518547">
          <w:marLeft w:val="0"/>
          <w:marRight w:val="980"/>
          <w:marTop w:val="240"/>
          <w:marBottom w:val="0"/>
          <w:divBdr>
            <w:top w:val="none" w:sz="0" w:space="0" w:color="auto"/>
            <w:left w:val="none" w:sz="0" w:space="0" w:color="auto"/>
            <w:bottom w:val="none" w:sz="0" w:space="0" w:color="auto"/>
            <w:right w:val="none" w:sz="0" w:space="0" w:color="auto"/>
          </w:divBdr>
        </w:div>
        <w:div w:id="1127351837">
          <w:marLeft w:val="0"/>
          <w:marRight w:val="980"/>
          <w:marTop w:val="240"/>
          <w:marBottom w:val="0"/>
          <w:divBdr>
            <w:top w:val="none" w:sz="0" w:space="0" w:color="auto"/>
            <w:left w:val="none" w:sz="0" w:space="0" w:color="auto"/>
            <w:bottom w:val="none" w:sz="0" w:space="0" w:color="auto"/>
            <w:right w:val="none" w:sz="0" w:space="0" w:color="auto"/>
          </w:divBdr>
        </w:div>
        <w:div w:id="148064735">
          <w:marLeft w:val="0"/>
          <w:marRight w:val="560"/>
          <w:marTop w:val="240"/>
          <w:marBottom w:val="0"/>
          <w:divBdr>
            <w:top w:val="none" w:sz="0" w:space="0" w:color="auto"/>
            <w:left w:val="none" w:sz="0" w:space="0" w:color="auto"/>
            <w:bottom w:val="none" w:sz="0" w:space="0" w:color="auto"/>
            <w:right w:val="none" w:sz="0" w:space="0" w:color="auto"/>
          </w:divBdr>
        </w:div>
        <w:div w:id="34355394">
          <w:marLeft w:val="0"/>
          <w:marRight w:val="560"/>
          <w:marTop w:val="240"/>
          <w:marBottom w:val="0"/>
          <w:divBdr>
            <w:top w:val="none" w:sz="0" w:space="0" w:color="auto"/>
            <w:left w:val="none" w:sz="0" w:space="0" w:color="auto"/>
            <w:bottom w:val="none" w:sz="0" w:space="0" w:color="auto"/>
            <w:right w:val="none" w:sz="0" w:space="0" w:color="auto"/>
          </w:divBdr>
        </w:div>
        <w:div w:id="2101560940">
          <w:marLeft w:val="0"/>
          <w:marRight w:val="0"/>
          <w:marTop w:val="80"/>
          <w:marBottom w:val="0"/>
          <w:divBdr>
            <w:top w:val="none" w:sz="0" w:space="0" w:color="auto"/>
            <w:left w:val="none" w:sz="0" w:space="0" w:color="auto"/>
            <w:bottom w:val="none" w:sz="0" w:space="0" w:color="auto"/>
            <w:right w:val="none" w:sz="0" w:space="0" w:color="auto"/>
          </w:divBdr>
        </w:div>
        <w:div w:id="791746537">
          <w:marLeft w:val="0"/>
          <w:marRight w:val="0"/>
          <w:marTop w:val="80"/>
          <w:marBottom w:val="0"/>
          <w:divBdr>
            <w:top w:val="none" w:sz="0" w:space="0" w:color="auto"/>
            <w:left w:val="none" w:sz="0" w:space="0" w:color="auto"/>
            <w:bottom w:val="none" w:sz="0" w:space="0" w:color="auto"/>
            <w:right w:val="none" w:sz="0" w:space="0" w:color="auto"/>
          </w:divBdr>
        </w:div>
        <w:div w:id="1569147249">
          <w:marLeft w:val="0"/>
          <w:marRight w:val="0"/>
          <w:marTop w:val="80"/>
          <w:marBottom w:val="0"/>
          <w:divBdr>
            <w:top w:val="none" w:sz="0" w:space="0" w:color="auto"/>
            <w:left w:val="none" w:sz="0" w:space="0" w:color="auto"/>
            <w:bottom w:val="none" w:sz="0" w:space="0" w:color="auto"/>
            <w:right w:val="none" w:sz="0" w:space="0" w:color="auto"/>
          </w:divBdr>
        </w:div>
        <w:div w:id="407658311">
          <w:marLeft w:val="0"/>
          <w:marRight w:val="0"/>
          <w:marTop w:val="80"/>
          <w:marBottom w:val="0"/>
          <w:divBdr>
            <w:top w:val="none" w:sz="0" w:space="0" w:color="auto"/>
            <w:left w:val="none" w:sz="0" w:space="0" w:color="auto"/>
            <w:bottom w:val="none" w:sz="0" w:space="0" w:color="auto"/>
            <w:right w:val="none" w:sz="0" w:space="0" w:color="auto"/>
          </w:divBdr>
        </w:div>
        <w:div w:id="1292830380">
          <w:marLeft w:val="0"/>
          <w:marRight w:val="0"/>
          <w:marTop w:val="80"/>
          <w:marBottom w:val="0"/>
          <w:divBdr>
            <w:top w:val="none" w:sz="0" w:space="0" w:color="auto"/>
            <w:left w:val="none" w:sz="0" w:space="0" w:color="auto"/>
            <w:bottom w:val="none" w:sz="0" w:space="0" w:color="auto"/>
            <w:right w:val="none" w:sz="0" w:space="0" w:color="auto"/>
          </w:divBdr>
        </w:div>
        <w:div w:id="1911305969">
          <w:marLeft w:val="0"/>
          <w:marRight w:val="0"/>
          <w:marTop w:val="80"/>
          <w:marBottom w:val="0"/>
          <w:divBdr>
            <w:top w:val="none" w:sz="0" w:space="0" w:color="auto"/>
            <w:left w:val="none" w:sz="0" w:space="0" w:color="auto"/>
            <w:bottom w:val="none" w:sz="0" w:space="0" w:color="auto"/>
            <w:right w:val="none" w:sz="0" w:space="0" w:color="auto"/>
          </w:divBdr>
        </w:div>
        <w:div w:id="1563442304">
          <w:marLeft w:val="0"/>
          <w:marRight w:val="0"/>
          <w:marTop w:val="80"/>
          <w:marBottom w:val="0"/>
          <w:divBdr>
            <w:top w:val="none" w:sz="0" w:space="0" w:color="auto"/>
            <w:left w:val="none" w:sz="0" w:space="0" w:color="auto"/>
            <w:bottom w:val="none" w:sz="0" w:space="0" w:color="auto"/>
            <w:right w:val="none" w:sz="0" w:space="0" w:color="auto"/>
          </w:divBdr>
        </w:div>
        <w:div w:id="573662703">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Company>SACC</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2022-11-28T16:40:00Z</dcterms:created>
  <dcterms:modified xsi:type="dcterms:W3CDTF">2022-11-28T16:41:00Z</dcterms:modified>
</cp:coreProperties>
</file>