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16" w:rsidRPr="00860A16" w:rsidRDefault="00860A16" w:rsidP="00860A16">
      <w:pPr>
        <w:bidi/>
        <w:spacing w:after="0" w:line="320" w:lineRule="atLeast"/>
        <w:jc w:val="center"/>
        <w:rPr>
          <w:rFonts w:ascii="Times New Roman" w:eastAsia="Times New Roman" w:hAnsi="Times New Roman" w:cs="Times New Roman"/>
          <w:b/>
          <w:bCs/>
          <w:color w:val="153347"/>
          <w:sz w:val="26"/>
          <w:szCs w:val="26"/>
        </w:rPr>
      </w:pPr>
      <w:r w:rsidRPr="00860A16">
        <w:rPr>
          <w:rFonts w:ascii="Times New Roman" w:eastAsia="Times New Roman" w:hAnsi="Times New Roman" w:cs="Times New Roman"/>
          <w:b/>
          <w:bCs/>
          <w:color w:val="153347"/>
          <w:sz w:val="26"/>
          <w:szCs w:val="26"/>
          <w:rtl/>
        </w:rPr>
        <w:t>استشارة رقم </w:t>
      </w:r>
      <w:r w:rsidRPr="00860A16">
        <w:rPr>
          <w:rFonts w:ascii="Akhbar MT" w:eastAsia="Times New Roman" w:hAnsi="Akhbar MT" w:cs="Times New Roman"/>
          <w:b/>
          <w:bCs/>
          <w:color w:val="153347"/>
          <w:sz w:val="52"/>
          <w:szCs w:val="52"/>
          <w:rtl/>
        </w:rPr>
        <w:t>147</w:t>
      </w:r>
    </w:p>
    <w:p w:rsidR="00860A16" w:rsidRPr="00860A16" w:rsidRDefault="00860A16" w:rsidP="00860A16">
      <w:pPr>
        <w:bidi/>
        <w:spacing w:after="0" w:line="300" w:lineRule="atLeast"/>
        <w:jc w:val="center"/>
        <w:rPr>
          <w:rFonts w:ascii="Times New Roman" w:eastAsia="Times New Roman" w:hAnsi="Times New Roman" w:cs="Times New Roman"/>
          <w:color w:val="000000"/>
          <w:sz w:val="27"/>
          <w:szCs w:val="27"/>
          <w:rtl/>
        </w:rPr>
      </w:pPr>
      <w:bookmarkStart w:id="0" w:name="Anchor4"/>
      <w:bookmarkEnd w:id="0"/>
      <w:r w:rsidRPr="00860A16">
        <w:rPr>
          <w:rFonts w:ascii="Times New Roman" w:eastAsia="Times New Roman" w:hAnsi="Times New Roman" w:cs="Times New Roman"/>
          <w:color w:val="000000"/>
          <w:sz w:val="27"/>
          <w:szCs w:val="27"/>
          <w:rtl/>
        </w:rPr>
        <w:t>تاريخ 25/02/2015</w:t>
      </w:r>
    </w:p>
    <w:p w:rsidR="00860A16" w:rsidRPr="00860A16" w:rsidRDefault="00860A16" w:rsidP="00860A16">
      <w:pPr>
        <w:bidi/>
        <w:spacing w:after="0" w:line="300" w:lineRule="atLeast"/>
        <w:ind w:hanging="1260"/>
        <w:jc w:val="both"/>
        <w:rPr>
          <w:rFonts w:ascii="Times New Roman" w:eastAsia="Times New Roman" w:hAnsi="Times New Roman" w:cs="Times New Roman"/>
          <w:b/>
          <w:bCs/>
          <w:color w:val="000000"/>
          <w:sz w:val="26"/>
          <w:szCs w:val="26"/>
          <w:rtl/>
        </w:rPr>
      </w:pPr>
      <w:bookmarkStart w:id="1" w:name="Anchor6"/>
      <w:bookmarkEnd w:id="1"/>
      <w:r w:rsidRPr="00860A16">
        <w:rPr>
          <w:rFonts w:ascii="Times New Roman" w:eastAsia="Times New Roman" w:hAnsi="Times New Roman" w:cs="Times New Roman"/>
          <w:b/>
          <w:bCs/>
          <w:color w:val="000000"/>
          <w:sz w:val="26"/>
          <w:szCs w:val="26"/>
          <w:rtl/>
        </w:rPr>
        <w:t>الهيئة: الرئيس ماري دنيز المعوشي.</w:t>
      </w:r>
    </w:p>
    <w:p w:rsidR="00860A16" w:rsidRPr="00860A16" w:rsidRDefault="00860A16" w:rsidP="00860A16">
      <w:pPr>
        <w:bidi/>
        <w:spacing w:after="0" w:line="300" w:lineRule="atLeast"/>
        <w:ind w:hanging="980"/>
        <w:rPr>
          <w:rFonts w:ascii="Times New Roman" w:eastAsia="Times New Roman" w:hAnsi="Times New Roman" w:cs="Times New Roman"/>
          <w:b/>
          <w:bCs/>
          <w:color w:val="000000"/>
          <w:sz w:val="30"/>
          <w:szCs w:val="30"/>
          <w:rtl/>
        </w:rPr>
      </w:pPr>
      <w:bookmarkStart w:id="2" w:name="Anchor10"/>
      <w:bookmarkEnd w:id="2"/>
      <w:r w:rsidRPr="00860A16">
        <w:rPr>
          <w:rFonts w:ascii="Times New Roman" w:eastAsia="Times New Roman" w:hAnsi="Times New Roman" w:cs="Times New Roman"/>
          <w:b/>
          <w:bCs/>
          <w:color w:val="000000"/>
          <w:sz w:val="30"/>
          <w:szCs w:val="30"/>
          <w:rtl/>
        </w:rPr>
        <w:t>طالب الرأي: رئيس الجامعة اللبنانية.</w:t>
      </w:r>
    </w:p>
    <w:p w:rsidR="00860A16" w:rsidRPr="00860A16" w:rsidRDefault="00860A16" w:rsidP="00860A16">
      <w:pPr>
        <w:shd w:val="clear" w:color="auto" w:fill="FFFFFF"/>
        <w:bidi/>
        <w:spacing w:after="0" w:line="300" w:lineRule="atLeast"/>
        <w:ind w:hanging="980"/>
        <w:rPr>
          <w:rFonts w:ascii="Times New Roman" w:eastAsia="Times New Roman" w:hAnsi="Times New Roman" w:cs="Times New Roman"/>
          <w:b/>
          <w:bCs/>
          <w:color w:val="000000"/>
          <w:sz w:val="26"/>
          <w:szCs w:val="26"/>
          <w:rtl/>
        </w:rPr>
      </w:pPr>
      <w:bookmarkStart w:id="3" w:name="Anchor14"/>
      <w:bookmarkEnd w:id="3"/>
      <w:r w:rsidRPr="00860A16">
        <w:rPr>
          <w:rFonts w:ascii="Times New Roman" w:eastAsia="Times New Roman" w:hAnsi="Times New Roman" w:cs="Times New Roman"/>
          <w:b/>
          <w:bCs/>
          <w:color w:val="000000"/>
          <w:sz w:val="26"/>
          <w:szCs w:val="26"/>
          <w:rtl/>
        </w:rPr>
        <w:t xml:space="preserve">الموضوع: بيان الرأي في مشاريع مراسيم </w:t>
      </w:r>
      <w:bookmarkStart w:id="4" w:name="_GoBack"/>
      <w:r w:rsidRPr="00860A16">
        <w:rPr>
          <w:rFonts w:ascii="Times New Roman" w:eastAsia="Times New Roman" w:hAnsi="Times New Roman" w:cs="Times New Roman"/>
          <w:b/>
          <w:bCs/>
          <w:color w:val="000000"/>
          <w:sz w:val="26"/>
          <w:szCs w:val="26"/>
          <w:rtl/>
        </w:rPr>
        <w:t>ترفيع أفراد من الهيئة التعليمية في الجامعة اللبنانية، احيل بعضهم الى التقاعد بسبب التأخر في اصدار هذه المراسيم.</w:t>
      </w:r>
    </w:p>
    <w:bookmarkStart w:id="5" w:name="Anchor29"/>
    <w:bookmarkEnd w:id="5"/>
    <w:bookmarkEnd w:id="4"/>
    <w:p w:rsidR="00860A16" w:rsidRPr="00860A16" w:rsidRDefault="00860A16" w:rsidP="00860A16">
      <w:pPr>
        <w:bidi/>
        <w:spacing w:after="0" w:line="320" w:lineRule="atLeast"/>
        <w:ind w:hanging="280"/>
        <w:rPr>
          <w:rFonts w:ascii="Times New Roman" w:eastAsia="Times New Roman" w:hAnsi="Times New Roman" w:cs="Times New Roman"/>
          <w:b/>
          <w:bCs/>
          <w:color w:val="000000"/>
          <w:sz w:val="26"/>
          <w:szCs w:val="26"/>
          <w:rtl/>
        </w:rPr>
      </w:pPr>
      <w:r w:rsidRPr="00860A16">
        <w:rPr>
          <w:rFonts w:ascii="Times New Roman" w:eastAsia="Times New Roman" w:hAnsi="Times New Roman" w:cs="Times New Roman"/>
          <w:b/>
          <w:bCs/>
          <w:color w:val="000000"/>
          <w:sz w:val="26"/>
          <w:szCs w:val="26"/>
          <w:rtl/>
        </w:rPr>
        <w:fldChar w:fldCharType="begin"/>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Pr>
        <w:instrText>HYPERLINK "https://lebanon.saderlex.com/Leb_CLB/%D8%B3%D9%86%D8%A9%202015/09998I_2015-02-25_00147_Ist.html" \l "TM2015_147_1"</w:instrText>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tl/>
        </w:rPr>
        <w:fldChar w:fldCharType="separate"/>
      </w:r>
      <w:r w:rsidRPr="00860A16">
        <w:rPr>
          <w:rFonts w:ascii="Times New Roman" w:eastAsia="Times New Roman" w:hAnsi="Times New Roman" w:cs="Times New Roman"/>
          <w:b/>
          <w:bCs/>
          <w:color w:val="0000FF"/>
          <w:sz w:val="26"/>
          <w:szCs w:val="26"/>
          <w:u w:val="single"/>
          <w:rtl/>
        </w:rPr>
        <w:t>1- صلاحية مجلس الوزراء إتخاذ قرار ترفيع أفراد من الهيئة التعليمية في الجامعة اللبنانية بمرسوم بناء على اقتراح وزير التربية والتعليم العالي.</w:t>
      </w:r>
      <w:r w:rsidRPr="00860A16">
        <w:rPr>
          <w:rFonts w:ascii="Times New Roman" w:eastAsia="Times New Roman" w:hAnsi="Times New Roman" w:cs="Times New Roman"/>
          <w:b/>
          <w:bCs/>
          <w:color w:val="000000"/>
          <w:sz w:val="26"/>
          <w:szCs w:val="26"/>
          <w:rtl/>
        </w:rPr>
        <w:fldChar w:fldCharType="end"/>
      </w:r>
    </w:p>
    <w:bookmarkStart w:id="6" w:name="Anchor44"/>
    <w:bookmarkEnd w:id="6"/>
    <w:p w:rsidR="00860A16" w:rsidRPr="00860A16" w:rsidRDefault="00860A16" w:rsidP="00860A16">
      <w:pPr>
        <w:bidi/>
        <w:spacing w:after="0" w:line="320" w:lineRule="atLeast"/>
        <w:ind w:hanging="280"/>
        <w:rPr>
          <w:rFonts w:ascii="Times New Roman" w:eastAsia="Times New Roman" w:hAnsi="Times New Roman" w:cs="Times New Roman"/>
          <w:b/>
          <w:bCs/>
          <w:color w:val="000000"/>
          <w:sz w:val="26"/>
          <w:szCs w:val="26"/>
          <w:rtl/>
        </w:rPr>
      </w:pPr>
      <w:r w:rsidRPr="00860A16">
        <w:rPr>
          <w:rFonts w:ascii="Times New Roman" w:eastAsia="Times New Roman" w:hAnsi="Times New Roman" w:cs="Times New Roman"/>
          <w:b/>
          <w:bCs/>
          <w:color w:val="000000"/>
          <w:sz w:val="26"/>
          <w:szCs w:val="26"/>
          <w:rtl/>
        </w:rPr>
        <w:fldChar w:fldCharType="begin"/>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Pr>
        <w:instrText>HYPERLINK "https://lebanon.saderlex.com/Leb_CLB/%D8%B3%D9%86%D8%A9%202015/09998I_2015-02-25_00147_Ist.html" \l "TM2015_147_2"</w:instrText>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tl/>
        </w:rPr>
        <w:fldChar w:fldCharType="separate"/>
      </w:r>
      <w:r w:rsidRPr="00860A16">
        <w:rPr>
          <w:rFonts w:ascii="Times New Roman" w:eastAsia="Times New Roman" w:hAnsi="Times New Roman" w:cs="Times New Roman"/>
          <w:b/>
          <w:bCs/>
          <w:color w:val="0000FF"/>
          <w:sz w:val="26"/>
          <w:szCs w:val="26"/>
          <w:u w:val="single"/>
          <w:rtl/>
        </w:rPr>
        <w:t>2- أسباب عدم إمكانية الاعتداد بقرار ترفيع أفراد من الهيئة التعليمية في الجامعة اللبنانية المتخذ من قبل مجلس الجامعة.</w:t>
      </w:r>
      <w:r w:rsidRPr="00860A16">
        <w:rPr>
          <w:rFonts w:ascii="Times New Roman" w:eastAsia="Times New Roman" w:hAnsi="Times New Roman" w:cs="Times New Roman"/>
          <w:b/>
          <w:bCs/>
          <w:color w:val="000000"/>
          <w:sz w:val="26"/>
          <w:szCs w:val="26"/>
          <w:rtl/>
        </w:rPr>
        <w:fldChar w:fldCharType="end"/>
      </w:r>
    </w:p>
    <w:bookmarkStart w:id="7" w:name="Anchor58"/>
    <w:bookmarkEnd w:id="7"/>
    <w:p w:rsidR="00860A16" w:rsidRPr="00860A16" w:rsidRDefault="00860A16" w:rsidP="00860A16">
      <w:pPr>
        <w:bidi/>
        <w:spacing w:after="0" w:line="320" w:lineRule="atLeast"/>
        <w:ind w:hanging="280"/>
        <w:rPr>
          <w:rFonts w:ascii="Times New Roman" w:eastAsia="Times New Roman" w:hAnsi="Times New Roman" w:cs="Times New Roman"/>
          <w:b/>
          <w:bCs/>
          <w:color w:val="000000"/>
          <w:sz w:val="26"/>
          <w:szCs w:val="26"/>
          <w:rtl/>
        </w:rPr>
      </w:pPr>
      <w:r w:rsidRPr="00860A16">
        <w:rPr>
          <w:rFonts w:ascii="Times New Roman" w:eastAsia="Times New Roman" w:hAnsi="Times New Roman" w:cs="Times New Roman"/>
          <w:b/>
          <w:bCs/>
          <w:color w:val="000000"/>
          <w:sz w:val="26"/>
          <w:szCs w:val="26"/>
          <w:rtl/>
        </w:rPr>
        <w:fldChar w:fldCharType="begin"/>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Pr>
        <w:instrText>HYPERLINK "https://lebanon.saderlex.com/Leb_CLB/%D8%B3%D9%86%D8%A9%202015/09998I_2015-02-25_00147_Ist.html" \l "TM2015_147_3"</w:instrText>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tl/>
        </w:rPr>
        <w:fldChar w:fldCharType="separate"/>
      </w:r>
      <w:r w:rsidRPr="00860A16">
        <w:rPr>
          <w:rFonts w:ascii="Times New Roman" w:eastAsia="Times New Roman" w:hAnsi="Times New Roman" w:cs="Times New Roman"/>
          <w:b/>
          <w:bCs/>
          <w:color w:val="0000FF"/>
          <w:sz w:val="26"/>
          <w:szCs w:val="26"/>
          <w:u w:val="single"/>
          <w:rtl/>
        </w:rPr>
        <w:t>3- لا صلاحية لمجلس الجامعة سوى ترشيح ترفيع أفراد الهيئة التعليمية دون صلاحية التقرير بشأنه.</w:t>
      </w:r>
      <w:r w:rsidRPr="00860A16">
        <w:rPr>
          <w:rFonts w:ascii="Times New Roman" w:eastAsia="Times New Roman" w:hAnsi="Times New Roman" w:cs="Times New Roman"/>
          <w:b/>
          <w:bCs/>
          <w:color w:val="000000"/>
          <w:sz w:val="26"/>
          <w:szCs w:val="26"/>
          <w:rtl/>
        </w:rPr>
        <w:fldChar w:fldCharType="end"/>
      </w:r>
    </w:p>
    <w:bookmarkStart w:id="8" w:name="Anchor68"/>
    <w:bookmarkEnd w:id="8"/>
    <w:p w:rsidR="00860A16" w:rsidRPr="00860A16" w:rsidRDefault="00860A16" w:rsidP="00860A16">
      <w:pPr>
        <w:bidi/>
        <w:spacing w:after="0" w:line="320" w:lineRule="atLeast"/>
        <w:ind w:hanging="280"/>
        <w:rPr>
          <w:rFonts w:ascii="Times New Roman" w:eastAsia="Times New Roman" w:hAnsi="Times New Roman" w:cs="Times New Roman"/>
          <w:b/>
          <w:bCs/>
          <w:color w:val="000000"/>
          <w:sz w:val="26"/>
          <w:szCs w:val="26"/>
          <w:rtl/>
        </w:rPr>
      </w:pPr>
      <w:r w:rsidRPr="00860A16">
        <w:rPr>
          <w:rFonts w:ascii="Times New Roman" w:eastAsia="Times New Roman" w:hAnsi="Times New Roman" w:cs="Times New Roman"/>
          <w:b/>
          <w:bCs/>
          <w:color w:val="000000"/>
          <w:sz w:val="26"/>
          <w:szCs w:val="26"/>
          <w:rtl/>
        </w:rPr>
        <w:fldChar w:fldCharType="begin"/>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Pr>
        <w:instrText>HYPERLINK "https://lebanon.saderlex.com/Leb_CLB/%D8%B3%D9%86%D8%A9%202015/09998I_2015-02-25_00147_Ist.html" \l "TM2015_147_4"</w:instrText>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tl/>
        </w:rPr>
        <w:fldChar w:fldCharType="separate"/>
      </w:r>
      <w:r w:rsidRPr="00860A16">
        <w:rPr>
          <w:rFonts w:ascii="Times New Roman" w:eastAsia="Times New Roman" w:hAnsi="Times New Roman" w:cs="Times New Roman"/>
          <w:b/>
          <w:bCs/>
          <w:color w:val="0000FF"/>
          <w:sz w:val="26"/>
          <w:szCs w:val="26"/>
          <w:u w:val="single"/>
          <w:rtl/>
        </w:rPr>
        <w:t>4- اعتبار المحال على التقاعد غير قابل للترفيع بالرغم من تأخر الترفيع بسبب الاجراءات الادارية.</w:t>
      </w:r>
      <w:r w:rsidRPr="00860A16">
        <w:rPr>
          <w:rFonts w:ascii="Times New Roman" w:eastAsia="Times New Roman" w:hAnsi="Times New Roman" w:cs="Times New Roman"/>
          <w:b/>
          <w:bCs/>
          <w:color w:val="000000"/>
          <w:sz w:val="26"/>
          <w:szCs w:val="26"/>
          <w:rtl/>
        </w:rPr>
        <w:fldChar w:fldCharType="end"/>
      </w:r>
    </w:p>
    <w:bookmarkStart w:id="9" w:name="Anchor79"/>
    <w:bookmarkEnd w:id="9"/>
    <w:p w:rsidR="00860A16" w:rsidRPr="00860A16" w:rsidRDefault="00860A16" w:rsidP="00860A16">
      <w:pPr>
        <w:bidi/>
        <w:spacing w:after="0" w:line="320" w:lineRule="atLeast"/>
        <w:ind w:hanging="280"/>
        <w:rPr>
          <w:rFonts w:ascii="Times New Roman" w:eastAsia="Times New Roman" w:hAnsi="Times New Roman" w:cs="Times New Roman"/>
          <w:b/>
          <w:bCs/>
          <w:color w:val="000000"/>
          <w:sz w:val="26"/>
          <w:szCs w:val="26"/>
          <w:rtl/>
        </w:rPr>
      </w:pPr>
      <w:r w:rsidRPr="00860A16">
        <w:rPr>
          <w:rFonts w:ascii="Times New Roman" w:eastAsia="Times New Roman" w:hAnsi="Times New Roman" w:cs="Times New Roman"/>
          <w:b/>
          <w:bCs/>
          <w:color w:val="000000"/>
          <w:sz w:val="26"/>
          <w:szCs w:val="26"/>
          <w:rtl/>
        </w:rPr>
        <w:fldChar w:fldCharType="begin"/>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Pr>
        <w:instrText>HYPERLINK "https://lebanon.saderlex.com/Leb_CLB/%D8%B3%D9%86%D8%A9%202015/09998I_2015-02-25_00147_Ist.html" \l "TM2015_147_5"</w:instrText>
      </w:r>
      <w:r w:rsidRPr="00860A16">
        <w:rPr>
          <w:rFonts w:ascii="Times New Roman" w:eastAsia="Times New Roman" w:hAnsi="Times New Roman" w:cs="Times New Roman"/>
          <w:b/>
          <w:bCs/>
          <w:color w:val="000000"/>
          <w:sz w:val="26"/>
          <w:szCs w:val="26"/>
          <w:rtl/>
        </w:rPr>
        <w:instrText xml:space="preserve"> </w:instrText>
      </w:r>
      <w:r w:rsidRPr="00860A16">
        <w:rPr>
          <w:rFonts w:ascii="Times New Roman" w:eastAsia="Times New Roman" w:hAnsi="Times New Roman" w:cs="Times New Roman"/>
          <w:b/>
          <w:bCs/>
          <w:color w:val="000000"/>
          <w:sz w:val="26"/>
          <w:szCs w:val="26"/>
          <w:rtl/>
        </w:rPr>
        <w:fldChar w:fldCharType="separate"/>
      </w:r>
      <w:r w:rsidRPr="00860A16">
        <w:rPr>
          <w:rFonts w:ascii="Times New Roman" w:eastAsia="Times New Roman" w:hAnsi="Times New Roman" w:cs="Times New Roman"/>
          <w:b/>
          <w:bCs/>
          <w:color w:val="0000FF"/>
          <w:sz w:val="26"/>
          <w:szCs w:val="26"/>
          <w:u w:val="single"/>
          <w:rtl/>
        </w:rPr>
        <w:t>5- وجوب إخراج الأسماء الواردة في مشاريع مراسيم ترفيع أفراد الهيئة التعليمية والعائدة لمن أحيل منهم على التقاعد مع بقاء الموافقة قائمة لمستحقي الترفيع وفقاً للقوانين والانظمة.</w:t>
      </w:r>
      <w:r w:rsidRPr="00860A16">
        <w:rPr>
          <w:rFonts w:ascii="Times New Roman" w:eastAsia="Times New Roman" w:hAnsi="Times New Roman" w:cs="Times New Roman"/>
          <w:b/>
          <w:bCs/>
          <w:color w:val="000000"/>
          <w:sz w:val="26"/>
          <w:szCs w:val="26"/>
          <w:rtl/>
        </w:rPr>
        <w:fldChar w:fldCharType="end"/>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0" w:name="Anchor99"/>
      <w:bookmarkEnd w:id="10"/>
      <w:r w:rsidRPr="00860A16">
        <w:rPr>
          <w:rFonts w:ascii="Times New Roman" w:eastAsia="Times New Roman" w:hAnsi="Times New Roman" w:cs="Times New Roman"/>
          <w:color w:val="000000"/>
          <w:sz w:val="27"/>
          <w:szCs w:val="27"/>
          <w:rtl/>
        </w:rPr>
        <w:t>بنـــــاءً عليـــه،</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1" w:name="Anchor101"/>
      <w:bookmarkEnd w:id="11"/>
      <w:r w:rsidRPr="00860A16">
        <w:rPr>
          <w:rFonts w:ascii="Times New Roman" w:eastAsia="Times New Roman" w:hAnsi="Times New Roman" w:cs="Times New Roman"/>
          <w:color w:val="000000"/>
          <w:sz w:val="27"/>
          <w:szCs w:val="27"/>
          <w:rtl/>
        </w:rPr>
        <w:t>حيث ان الاستشارة الحاضرة ترمي الى ابداء الرأي في مشاريع مراسيم ترفيع أفراد من الهيئة التعليمية في الجامعة اللبنانية، احيل بعضهم على التقاعد بسبب التأخر في اصدار هذه المراسيم.</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2" w:name="Anchor118"/>
      <w:bookmarkEnd w:id="12"/>
      <w:r w:rsidRPr="00860A16">
        <w:rPr>
          <w:rFonts w:ascii="Times New Roman" w:eastAsia="Times New Roman" w:hAnsi="Times New Roman" w:cs="Times New Roman"/>
          <w:color w:val="000000"/>
          <w:sz w:val="27"/>
          <w:szCs w:val="27"/>
          <w:rtl/>
        </w:rPr>
        <w:t>وحيث أنه يتبين أنه صدر عن مقام مجلس الوزراء في 27/11/2014 القرار رقم 49 الذي وافق بموجبه على "مشاريع مراسيم عدد (14) ترمي الى ترفيع بعض أفراد الهيئة التعليمية في كليات ومعاهد الجامعة اللبنانية وذلك وفقاً للوائح المرفقة بهذا القرار والتي تعتبر جزءاً لا يتجزأ منه"</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3" w:name="Anchor141"/>
      <w:bookmarkEnd w:id="13"/>
      <w:r w:rsidRPr="00860A16">
        <w:rPr>
          <w:rFonts w:ascii="Times New Roman" w:eastAsia="Times New Roman" w:hAnsi="Times New Roman" w:cs="Times New Roman"/>
          <w:color w:val="000000"/>
          <w:sz w:val="27"/>
          <w:szCs w:val="27"/>
          <w:rtl/>
        </w:rPr>
        <w:t>وحيث أنه تبين أن اللوائح المرفقة بمشاريع المراسيم تضمنت اسماء أشخاص سبق أن أحيلوا على التقاعد كما ورد في كتاب جانب الأمين العام لرئاسة مجلس الوزراء الذي خلص الى استحالة السير بمشاريع المراسيم لهذا السبب.</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4" w:name="Anchor161"/>
      <w:bookmarkEnd w:id="14"/>
      <w:r w:rsidRPr="00860A16">
        <w:rPr>
          <w:rFonts w:ascii="Times New Roman" w:eastAsia="Times New Roman" w:hAnsi="Times New Roman" w:cs="Times New Roman"/>
          <w:color w:val="000000"/>
          <w:sz w:val="27"/>
          <w:szCs w:val="27"/>
          <w:rtl/>
        </w:rPr>
        <w:t>وحيث أن رئيس الجامعة اللبنانية يطرح على البحث مسألتي معرفة ما إذا كان يمكن إعادة النظر في مشاريع المراسيم بعد صدور موافقة مجلس الوزراء ويدلي بأن تأخير ترفيع من أحيل على التقاعد مردّه الاجراءات الادارية، مما يثير التساؤل حول ما إذا كان الترفيع لمن استوفى شروطه قبل إحالته على التقاعد متوافق والقانون.</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5" w:name="Anchor190"/>
      <w:bookmarkEnd w:id="15"/>
      <w:r w:rsidRPr="00860A16">
        <w:rPr>
          <w:rFonts w:ascii="Times New Roman" w:eastAsia="Times New Roman" w:hAnsi="Times New Roman" w:cs="Times New Roman"/>
          <w:color w:val="000000"/>
          <w:sz w:val="27"/>
          <w:szCs w:val="27"/>
          <w:rtl/>
        </w:rPr>
        <w:t>وحيث أن الاجابة على هاتين المسألتين مرعية بالأحكام التي ترعى الجامعة اللبنانية وبنظام الموظفين.</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6" w:name="Anchor201"/>
      <w:bookmarkEnd w:id="16"/>
      <w:r w:rsidRPr="00860A16">
        <w:rPr>
          <w:rFonts w:ascii="Times New Roman" w:eastAsia="Times New Roman" w:hAnsi="Times New Roman" w:cs="Times New Roman"/>
          <w:color w:val="000000"/>
          <w:sz w:val="27"/>
          <w:szCs w:val="27"/>
          <w:rtl/>
        </w:rPr>
        <w:t>أولاً- في القانون رقم 75 تاريخ 26/12/1967 (تنظيم الجامعة اللبنانية)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7" w:name="Anchor207"/>
      <w:bookmarkEnd w:id="17"/>
      <w:r w:rsidRPr="00860A16">
        <w:rPr>
          <w:rFonts w:ascii="Times New Roman" w:eastAsia="Times New Roman" w:hAnsi="Times New Roman" w:cs="Times New Roman"/>
          <w:color w:val="000000"/>
          <w:sz w:val="27"/>
          <w:szCs w:val="27"/>
          <w:rtl/>
        </w:rPr>
        <w:t>حيث أنه يتبين:</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8" w:name="Anchor209"/>
      <w:bookmarkEnd w:id="18"/>
      <w:r w:rsidRPr="00860A16">
        <w:rPr>
          <w:rFonts w:ascii="Times New Roman" w:eastAsia="Times New Roman" w:hAnsi="Times New Roman" w:cs="Times New Roman"/>
          <w:color w:val="000000"/>
          <w:sz w:val="27"/>
          <w:szCs w:val="27"/>
          <w:rtl/>
        </w:rPr>
        <w:t>- أن المادة 7 تنص على أن أفراد الهيئة التعليمية وموظفي الجامعة اللبنانية الفنيين والاداريين هــم مـن موظفـي الدولة ويخضعون لجميع القــــوانيـــن والأنظمة المتعلقة بسائر الموظفين لا سيما أحكام التدرج والترفيع والترقية والصرف والتقاعد إلا في الأحكام الخاصة المنصوص عليها في القانون رقم 75/67 وفي الأنظمة المتعلقة بالجامعة (فيما عدا شرط السن) أي الفقرة (ج) من المادة 4 من المرسوم الاشتراعي رقم 112/59 أي شرط السن) (هذا علماً وأن الجامعة قد استثنت من تطبيق المادة الأولى من المرسوم الاشتراعي – المتعلقة بالموظفين والاجراء -).</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19" w:name="Anchor264"/>
      <w:bookmarkEnd w:id="19"/>
      <w:r w:rsidRPr="00860A16">
        <w:rPr>
          <w:rFonts w:ascii="Times New Roman" w:eastAsia="Times New Roman" w:hAnsi="Times New Roman" w:cs="Times New Roman"/>
          <w:color w:val="000000"/>
          <w:sz w:val="27"/>
          <w:szCs w:val="27"/>
          <w:rtl/>
        </w:rPr>
        <w:t>- وان المادة 17 أعطت مجلس الجامعة صلاحية ترشيح أفراد الهيئة التعليمية (بناء على ترشيح مجلس الوحدة فيما خص التعاقد والتعيين والترفيع بناءً على توصيات مجالس الفروع عملاً بالمادة 32) كما وصلاحية القيام بمهام مجلس الخدمة المدنية وهيئة التفتيش المركزي بالنسبة الى موظفي الجامعة الفنيين والاداريين.</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0" w:name="Anchor293"/>
      <w:bookmarkEnd w:id="20"/>
      <w:r w:rsidRPr="00860A16">
        <w:rPr>
          <w:rFonts w:ascii="Times New Roman" w:eastAsia="Times New Roman" w:hAnsi="Times New Roman" w:cs="Times New Roman"/>
          <w:color w:val="000000"/>
          <w:sz w:val="27"/>
          <w:szCs w:val="27"/>
          <w:rtl/>
        </w:rPr>
        <w:lastRenderedPageBreak/>
        <w:t>- وان المادة 35 تنص على أن الهيئة التعليمية تتألف من الأساتذة والأساتذة المساعدين والمعيدين وهم من موظفي الدولة الدائمين الخاضعين لنظام الموظفين العام وللأحكام الخاصة الواردة في قانون تنظيم الجامعة اللبنانية ومن الأساتذة المتعاقدين.</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1" w:name="Anchor318"/>
      <w:bookmarkEnd w:id="21"/>
      <w:r w:rsidRPr="00860A16">
        <w:rPr>
          <w:rFonts w:ascii="Times New Roman" w:eastAsia="Times New Roman" w:hAnsi="Times New Roman" w:cs="Times New Roman"/>
          <w:color w:val="000000"/>
          <w:sz w:val="27"/>
          <w:szCs w:val="27"/>
          <w:rtl/>
        </w:rPr>
        <w:t>- وأن المادة 37 تنص على أنه يعين الأساتذة والأساتذة المساعدون والمعيدون أحكام بمرسوم يتخذ بناء على اقتراح وزير التعليم العالي.</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2" w:name="Anchor332"/>
      <w:bookmarkEnd w:id="22"/>
      <w:r w:rsidRPr="00860A16">
        <w:rPr>
          <w:rFonts w:ascii="Times New Roman" w:eastAsia="Times New Roman" w:hAnsi="Times New Roman" w:cs="Times New Roman"/>
          <w:color w:val="000000"/>
          <w:sz w:val="27"/>
          <w:szCs w:val="27"/>
          <w:rtl/>
        </w:rPr>
        <w:t>وحيث أنه بالتالي</w:t>
      </w:r>
      <w:r w:rsidRPr="00860A16">
        <w:rPr>
          <w:rFonts w:ascii="Simplified Arabic" w:eastAsia="Times New Roman" w:hAnsi="Simplified Arabic" w:cs="Simplified Arabic"/>
          <w:b/>
          <w:bCs/>
          <w:color w:val="000000"/>
          <w:sz w:val="26"/>
          <w:szCs w:val="26"/>
          <w:rtl/>
        </w:rPr>
        <w:t> </w:t>
      </w:r>
      <w:r w:rsidRPr="00860A16">
        <w:rPr>
          <w:rFonts w:ascii="Times New Roman" w:eastAsia="Times New Roman" w:hAnsi="Times New Roman" w:cs="Times New Roman"/>
          <w:color w:val="000000"/>
          <w:sz w:val="27"/>
          <w:szCs w:val="27"/>
          <w:rtl/>
        </w:rPr>
        <w:t>تطبق على الأساتذة والأساتذة المساعدين والمعيدين أحكام المرسوم الاشتراعي رقم 112/59 فيما لم ينص عليه القانون رقم 75/67 الذي لم يرع الحالة الحاضرة، موضوع هذه الاستشارة.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3" w:name="Anchor351"/>
      <w:bookmarkEnd w:id="23"/>
      <w:r w:rsidRPr="00860A16">
        <w:rPr>
          <w:rFonts w:ascii="Times New Roman" w:eastAsia="Times New Roman" w:hAnsi="Times New Roman" w:cs="Times New Roman"/>
          <w:b/>
          <w:bCs/>
          <w:color w:val="000000"/>
          <w:sz w:val="26"/>
          <w:szCs w:val="26"/>
          <w:rtl/>
        </w:rPr>
        <w:t>ثانياً- في المرسوم الاشتراعي رقم 112 تاريخ 12/6/1959 (قانون الموظفين)</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4" w:name="Anchor357"/>
      <w:bookmarkEnd w:id="24"/>
      <w:r w:rsidRPr="00860A16">
        <w:rPr>
          <w:rFonts w:ascii="Times New Roman" w:eastAsia="Times New Roman" w:hAnsi="Times New Roman" w:cs="Times New Roman"/>
          <w:color w:val="000000"/>
          <w:sz w:val="27"/>
          <w:szCs w:val="27"/>
          <w:rtl/>
        </w:rPr>
        <w:t>حيث أنه يتبين:</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5" w:name="Anchor359"/>
      <w:bookmarkEnd w:id="25"/>
      <w:r w:rsidRPr="00860A16">
        <w:rPr>
          <w:rFonts w:ascii="Times New Roman" w:eastAsia="Times New Roman" w:hAnsi="Times New Roman" w:cs="Times New Roman"/>
          <w:color w:val="000000"/>
          <w:sz w:val="27"/>
          <w:szCs w:val="27"/>
          <w:rtl/>
        </w:rPr>
        <w:t>- أن المادة 34 – معدلة وفقاً للمرسوم رقم 15703 تاريخ 6/3/1964، تنص على ما يلي:</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6" w:name="Anchor366"/>
      <w:bookmarkEnd w:id="26"/>
      <w:r w:rsidRPr="00860A16">
        <w:rPr>
          <w:rFonts w:ascii="Times New Roman" w:eastAsia="Times New Roman" w:hAnsi="Times New Roman" w:cs="Times New Roman"/>
          <w:color w:val="000000"/>
          <w:sz w:val="27"/>
          <w:szCs w:val="27"/>
          <w:rtl/>
        </w:rPr>
        <w:t>الترفيع:</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7" w:name="Anchor367"/>
      <w:bookmarkEnd w:id="27"/>
      <w:r w:rsidRPr="00860A16">
        <w:rPr>
          <w:rFonts w:ascii="Times New Roman" w:eastAsia="Times New Roman" w:hAnsi="Times New Roman" w:cs="Times New Roman"/>
          <w:color w:val="000000"/>
          <w:sz w:val="27"/>
          <w:szCs w:val="27"/>
          <w:rtl/>
        </w:rPr>
        <w:t>1- هو انتقال الموظف من رتبة الى رتبة أعلى ضمن الفئة نفسها، ومن فئة الى فئة.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8" w:name="Anchor376"/>
      <w:bookmarkEnd w:id="28"/>
      <w:r w:rsidRPr="00860A16">
        <w:rPr>
          <w:rFonts w:ascii="Times New Roman" w:eastAsia="Times New Roman" w:hAnsi="Times New Roman" w:cs="Times New Roman"/>
          <w:color w:val="000000"/>
          <w:sz w:val="27"/>
          <w:szCs w:val="27"/>
          <w:rtl/>
        </w:rPr>
        <w:t>2- لا يرفع الموظف من رتبة الى رتبة إلا اذا كان في الدرجة الأولى في رتبته وكان اسمه مدرجاً في جدول الترفع.</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29" w:name="Anchor387"/>
      <w:bookmarkEnd w:id="29"/>
      <w:r w:rsidRPr="00860A16">
        <w:rPr>
          <w:rFonts w:ascii="Times New Roman" w:eastAsia="Times New Roman" w:hAnsi="Times New Roman" w:cs="Times New Roman"/>
          <w:color w:val="000000"/>
          <w:sz w:val="27"/>
          <w:szCs w:val="27"/>
          <w:rtl/>
        </w:rPr>
        <w:t>أضيفت الجملة التالية الى الفقرة 2 من المادة 34 بموجب المرسوم رقم 15703 تاريخ 6/3/1964.</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0" w:name="Anchor395"/>
      <w:bookmarkEnd w:id="30"/>
      <w:r w:rsidRPr="00860A16">
        <w:rPr>
          <w:rFonts w:ascii="Times New Roman" w:eastAsia="Times New Roman" w:hAnsi="Times New Roman" w:cs="Times New Roman"/>
          <w:color w:val="000000"/>
          <w:sz w:val="27"/>
          <w:szCs w:val="27"/>
          <w:rtl/>
        </w:rPr>
        <w:t>وذلك مع مراعاة أحكام الفقرة 4 من هذه المادة.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1" w:name="Anchor400"/>
      <w:bookmarkEnd w:id="31"/>
      <w:r w:rsidRPr="00860A16">
        <w:rPr>
          <w:rFonts w:ascii="Times New Roman" w:eastAsia="Times New Roman" w:hAnsi="Times New Roman" w:cs="Times New Roman"/>
          <w:color w:val="000000"/>
          <w:sz w:val="27"/>
          <w:szCs w:val="27"/>
          <w:rtl/>
        </w:rPr>
        <w:t>3- تنظم كل وزارة او ادارة جدول ترفيع وترسله الى مجلس الخدمة المدنية قبل اول تشرين اول من كل سنة وتضمنه اسماء الموظفين الذين ترشحهم للانتقال من رتبة الى رتبة في الفئة الواحدة، او من الفئة الثالثة الى الثانية ومن الثانية الى الأولى، وترفق الجدول بالاسباب الموجبة.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2" w:name="Anchor425"/>
      <w:bookmarkEnd w:id="32"/>
      <w:r w:rsidRPr="00860A16">
        <w:rPr>
          <w:rFonts w:ascii="Times New Roman" w:eastAsia="Times New Roman" w:hAnsi="Times New Roman" w:cs="Times New Roman"/>
          <w:color w:val="000000"/>
          <w:sz w:val="27"/>
          <w:szCs w:val="27"/>
          <w:rtl/>
        </w:rPr>
        <w:t>وعلى مجلس الخدمة المدنية ان يبت نهائيا في هذا الجدول قبل نهاية اول كانون الثاني وله ان يستطلع رأي ادارة التفتيش المركزي قبل اتخاذ قراره.</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3" w:name="Anchor438"/>
      <w:bookmarkEnd w:id="33"/>
      <w:r w:rsidRPr="00860A16">
        <w:rPr>
          <w:rFonts w:ascii="Times New Roman" w:eastAsia="Times New Roman" w:hAnsi="Times New Roman" w:cs="Times New Roman"/>
          <w:color w:val="000000"/>
          <w:sz w:val="27"/>
          <w:szCs w:val="27"/>
          <w:rtl/>
        </w:rPr>
        <w:t>فإذا لم يتخذ قراره في الموعد المحدد اعتبر الجدول نافذاً كما ورد من الوزارة او الادارة المختصة.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4" w:name="Anchor448"/>
      <w:bookmarkEnd w:id="34"/>
      <w:r w:rsidRPr="00860A16">
        <w:rPr>
          <w:rFonts w:ascii="Times New Roman" w:eastAsia="Times New Roman" w:hAnsi="Times New Roman" w:cs="Times New Roman"/>
          <w:color w:val="000000"/>
          <w:sz w:val="27"/>
          <w:szCs w:val="27"/>
          <w:rtl/>
        </w:rPr>
        <w:t>4- أضيفت الفقرة 4 التالية الى المادة 34 بموجب المرسوم رقم 15703 تاريخ 6/3/1964 يرفع المهندسون من رتبة الى رتبة اذا كانوا في الدرجات الثلاث العليا في رتبتهم وكان اسمهم مدرجاً في جدول الترفيع وذلك وفقاً لأحكام الفقرة 3 من هذه المادة".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5" w:name="Anchor469"/>
      <w:bookmarkEnd w:id="35"/>
      <w:r w:rsidRPr="00860A16">
        <w:rPr>
          <w:rFonts w:ascii="Times New Roman" w:eastAsia="Times New Roman" w:hAnsi="Times New Roman" w:cs="Times New Roman"/>
          <w:color w:val="000000"/>
          <w:sz w:val="27"/>
          <w:szCs w:val="27"/>
          <w:rtl/>
        </w:rPr>
        <w:t>- وأن المادة 66 تنص على أن الاحالة على التقاعد هي إنهاء خدمة الموظف وإخراجه نهائياً من الملاك وتضيف الفقرة الرابعة على أنه لا يجوز إعادة الموظف الى الخدمة ولو بصورة مؤقتة، إذا كان قد صرف من الخدمة أو أحيل على التقاعد بحكم المجلس التأديبي أو لبلوغه السن القانونية (وإن أجيزت إعادته في أحوال أخرى ضمن شروط معينة).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6" w:name="Anchor500"/>
      <w:bookmarkEnd w:id="36"/>
      <w:r w:rsidRPr="00860A16">
        <w:rPr>
          <w:rFonts w:ascii="Times New Roman" w:eastAsia="Times New Roman" w:hAnsi="Times New Roman" w:cs="Times New Roman"/>
          <w:b/>
          <w:bCs/>
          <w:color w:val="000000"/>
          <w:sz w:val="26"/>
          <w:szCs w:val="26"/>
          <w:rtl/>
        </w:rPr>
        <w:t>ثالثاً: في الخلاصة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7" w:name="Anchor502"/>
      <w:bookmarkEnd w:id="37"/>
      <w:r w:rsidRPr="00860A16">
        <w:rPr>
          <w:rFonts w:ascii="Times New Roman" w:eastAsia="Times New Roman" w:hAnsi="Times New Roman" w:cs="Times New Roman"/>
          <w:color w:val="000000"/>
          <w:sz w:val="27"/>
          <w:szCs w:val="27"/>
          <w:rtl/>
        </w:rPr>
        <w:t>أن النصوص المعروض لها آنفاً، تطرح فما خص المسألة الحاضرة، الاشكاليات التالية: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8" w:name="Anchor511"/>
      <w:bookmarkEnd w:id="38"/>
      <w:r w:rsidRPr="00860A16">
        <w:rPr>
          <w:rFonts w:ascii="Times New Roman" w:eastAsia="Times New Roman" w:hAnsi="Times New Roman" w:cs="Times New Roman"/>
          <w:color w:val="000000"/>
          <w:sz w:val="27"/>
          <w:szCs w:val="27"/>
          <w:rtl/>
        </w:rPr>
        <w:t>1- بما أنه من الثابت أن مجلس الجامعة قد أعطي صلاحية الترشيح للترفيع (سنداً الى ترشيح مجلس الوحدة) دون أن يعطى صلاحية الترفيع، فمن هو المرجع المختص لاتخاذ القرار بصدده؟</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39" w:name="Anchor529"/>
      <w:bookmarkEnd w:id="39"/>
      <w:r w:rsidRPr="00860A16">
        <w:rPr>
          <w:rFonts w:ascii="Times New Roman" w:eastAsia="Times New Roman" w:hAnsi="Times New Roman" w:cs="Times New Roman"/>
          <w:color w:val="000000"/>
          <w:sz w:val="27"/>
          <w:szCs w:val="27"/>
          <w:rtl/>
        </w:rPr>
        <w:t>2- بما أن المادة 17 قد أعطت مجلس الجامعة صلاحية القيام بمهام مجلس الخدمة المدنية بالنسبة للموظفين الاداريين والفنيين دون سواهم، فمن هو المرجع الذي يمارس صلاحيات مجلس الخدمة المدنية بالنسبة لأفراد الهيئة التعليمية؟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40" w:name="Anchor552"/>
      <w:bookmarkEnd w:id="40"/>
      <w:r w:rsidRPr="00860A16">
        <w:rPr>
          <w:rFonts w:ascii="Times New Roman" w:eastAsia="Times New Roman" w:hAnsi="Times New Roman" w:cs="Times New Roman"/>
          <w:color w:val="000000"/>
          <w:sz w:val="27"/>
          <w:szCs w:val="27"/>
          <w:rtl/>
        </w:rPr>
        <w:t>3- وبعد تحديد المرجع المختص، تطرح مسألة تحديد تاريخ بدء سريان قرار الترفيع.</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41" w:name="Anchor560"/>
      <w:bookmarkStart w:id="42" w:name="TM2015_147_1"/>
      <w:bookmarkEnd w:id="41"/>
      <w:bookmarkEnd w:id="42"/>
      <w:r w:rsidRPr="00860A16">
        <w:rPr>
          <w:rFonts w:ascii="Times New Roman" w:eastAsia="Times New Roman" w:hAnsi="Times New Roman" w:cs="Times New Roman"/>
          <w:b/>
          <w:bCs/>
          <w:color w:val="000000"/>
          <w:sz w:val="26"/>
          <w:szCs w:val="26"/>
          <w:rtl/>
        </w:rPr>
        <w:t>حيث أنه ثابت أنه، ووفقاً للنظام العام الذي يخضع له الموظفون والمنصوص عليه في المادة 34 من قانون الموظفين يتم الترفيع بموجب قرار صادر عن مجلس الخدمة المدنية.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43" w:name="Anchor576"/>
      <w:bookmarkEnd w:id="43"/>
      <w:r w:rsidRPr="00860A16">
        <w:rPr>
          <w:rFonts w:ascii="Times New Roman" w:eastAsia="Times New Roman" w:hAnsi="Times New Roman" w:cs="Times New Roman"/>
          <w:b/>
          <w:bCs/>
          <w:color w:val="000000"/>
          <w:sz w:val="26"/>
          <w:szCs w:val="26"/>
          <w:rtl/>
        </w:rPr>
        <w:t xml:space="preserve">وحيث أن مجلس الخدمة المدنية لم يعط بموجب القانون رقم 75/67 أية صلاحية فيما خص أفراد الهيئة التعليمية، على غرار ما اعطيه من صلاحيات بالنسبة للموظفين الفنيين والاداريين بل أعطت المادة </w:t>
      </w:r>
      <w:r w:rsidRPr="00860A16">
        <w:rPr>
          <w:rFonts w:ascii="Times New Roman" w:eastAsia="Times New Roman" w:hAnsi="Times New Roman" w:cs="Times New Roman"/>
          <w:b/>
          <w:bCs/>
          <w:color w:val="000000"/>
          <w:sz w:val="26"/>
          <w:szCs w:val="26"/>
          <w:rtl/>
        </w:rPr>
        <w:lastRenderedPageBreak/>
        <w:t>35 منه مجلس الوزراء سلطة تعيين الأساتذة والأساتذة المساعدين والمعيدين، لذا وبغياب النص الذي يعين المرجع المختص للترفيع يكون المرجع الذي تعود له سلطة التعيين هو الذي يملك سلطة الترفيع بحيث يصدر قرار الترفيع بمرسوم يصدر عن مجلس الوزراء بناء على اقتراح وزير التربية والتعليم العالي،</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44" w:name="Anchor620"/>
      <w:bookmarkStart w:id="45" w:name="TM2015_147_2"/>
      <w:bookmarkEnd w:id="44"/>
      <w:bookmarkEnd w:id="45"/>
      <w:r w:rsidRPr="00860A16">
        <w:rPr>
          <w:rFonts w:ascii="Times New Roman" w:eastAsia="Times New Roman" w:hAnsi="Times New Roman" w:cs="Times New Roman"/>
          <w:b/>
          <w:bCs/>
          <w:color w:val="000000"/>
          <w:sz w:val="26"/>
          <w:szCs w:val="26"/>
          <w:rtl/>
        </w:rPr>
        <w:t>وحيث أنه لا يمكن في هذا السياق الاعتداد بأن قرار الترفيع يتخذ من قبل مجلس الجامعة للأسباب التالية: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46" w:name="Anchor629"/>
      <w:bookmarkEnd w:id="46"/>
      <w:r w:rsidRPr="00860A16">
        <w:rPr>
          <w:rFonts w:ascii="Times New Roman" w:eastAsia="Times New Roman" w:hAnsi="Times New Roman" w:cs="Times New Roman"/>
          <w:color w:val="000000"/>
          <w:sz w:val="27"/>
          <w:szCs w:val="27"/>
          <w:rtl/>
        </w:rPr>
        <w:t>1</w:t>
      </w:r>
      <w:r w:rsidRPr="00860A16">
        <w:rPr>
          <w:rFonts w:ascii="Simplified Arabic" w:eastAsia="Times New Roman" w:hAnsi="Simplified Arabic" w:cs="Simplified Arabic"/>
          <w:b/>
          <w:bCs/>
          <w:color w:val="000000"/>
          <w:sz w:val="26"/>
          <w:szCs w:val="26"/>
          <w:rtl/>
        </w:rPr>
        <w:t>- </w:t>
      </w:r>
      <w:r w:rsidRPr="00860A16">
        <w:rPr>
          <w:rFonts w:ascii="Times New Roman" w:eastAsia="Times New Roman" w:hAnsi="Times New Roman" w:cs="Times New Roman"/>
          <w:b/>
          <w:bCs/>
          <w:color w:val="000000"/>
          <w:sz w:val="26"/>
          <w:szCs w:val="26"/>
          <w:rtl/>
        </w:rPr>
        <w:t>لأن سلطة حلول مجلس الجامعة محل مجلس الخدمة المدنية لم ترد في نص صريح.</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47" w:name="Anchor638"/>
      <w:bookmarkEnd w:id="47"/>
      <w:r w:rsidRPr="00860A16">
        <w:rPr>
          <w:rFonts w:ascii="Simplified Arabic" w:eastAsia="Times New Roman" w:hAnsi="Simplified Arabic" w:cs="Simplified Arabic"/>
          <w:b/>
          <w:bCs/>
          <w:color w:val="000000"/>
          <w:sz w:val="26"/>
          <w:szCs w:val="26"/>
          <w:rtl/>
        </w:rPr>
        <w:t>2- </w:t>
      </w:r>
      <w:r w:rsidRPr="00860A16">
        <w:rPr>
          <w:rFonts w:ascii="Times New Roman" w:eastAsia="Times New Roman" w:hAnsi="Times New Roman" w:cs="Times New Roman"/>
          <w:b/>
          <w:bCs/>
          <w:color w:val="000000"/>
          <w:sz w:val="26"/>
          <w:szCs w:val="26"/>
          <w:rtl/>
        </w:rPr>
        <w:t>لأنه واضح من القانون رقم 75/67 أن مجلس الجامعة أعطي فقط سلطة الترشيح وأنه في كل حال لا يستقيم قانوناً تولي هيئة واحدة صلاحيتي الترشيح والترفيع معاً.</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48" w:name="Anchor654"/>
      <w:bookmarkEnd w:id="48"/>
      <w:r w:rsidRPr="00860A16">
        <w:rPr>
          <w:rFonts w:ascii="Simplified Arabic" w:eastAsia="Times New Roman" w:hAnsi="Simplified Arabic" w:cs="Simplified Arabic"/>
          <w:b/>
          <w:bCs/>
          <w:color w:val="000000"/>
          <w:sz w:val="26"/>
          <w:szCs w:val="26"/>
          <w:rtl/>
        </w:rPr>
        <w:t>3- </w:t>
      </w:r>
      <w:r w:rsidRPr="00860A16">
        <w:rPr>
          <w:rFonts w:ascii="Times New Roman" w:eastAsia="Times New Roman" w:hAnsi="Times New Roman" w:cs="Times New Roman"/>
          <w:b/>
          <w:bCs/>
          <w:color w:val="000000"/>
          <w:sz w:val="26"/>
          <w:szCs w:val="26"/>
          <w:rtl/>
        </w:rPr>
        <w:t>لأنه وبغياب النص الصريح وعملاً بقاعدة من يمكنه القيام بالأكثر يمكنه القيام بالأقل </w:t>
      </w:r>
      <w:r w:rsidRPr="00860A16">
        <w:rPr>
          <w:rFonts w:ascii="Times New Roman" w:eastAsia="Times New Roman" w:hAnsi="Times New Roman" w:cs="Times New Roman"/>
          <w:b/>
          <w:bCs/>
          <w:color w:val="000000"/>
          <w:sz w:val="27"/>
          <w:szCs w:val="27"/>
        </w:rPr>
        <w:t xml:space="preserve">Qui </w:t>
      </w:r>
      <w:proofErr w:type="spellStart"/>
      <w:r w:rsidRPr="00860A16">
        <w:rPr>
          <w:rFonts w:ascii="Times New Roman" w:eastAsia="Times New Roman" w:hAnsi="Times New Roman" w:cs="Times New Roman"/>
          <w:b/>
          <w:bCs/>
          <w:color w:val="000000"/>
          <w:sz w:val="27"/>
          <w:szCs w:val="27"/>
        </w:rPr>
        <w:t>peut</w:t>
      </w:r>
      <w:proofErr w:type="spellEnd"/>
      <w:r w:rsidRPr="00860A16">
        <w:rPr>
          <w:rFonts w:ascii="Times New Roman" w:eastAsia="Times New Roman" w:hAnsi="Times New Roman" w:cs="Times New Roman"/>
          <w:b/>
          <w:bCs/>
          <w:color w:val="000000"/>
          <w:sz w:val="27"/>
          <w:szCs w:val="27"/>
        </w:rPr>
        <w:t xml:space="preserve"> le plus </w:t>
      </w:r>
      <w:proofErr w:type="spellStart"/>
      <w:r w:rsidRPr="00860A16">
        <w:rPr>
          <w:rFonts w:ascii="Times New Roman" w:eastAsia="Times New Roman" w:hAnsi="Times New Roman" w:cs="Times New Roman"/>
          <w:b/>
          <w:bCs/>
          <w:color w:val="000000"/>
          <w:sz w:val="27"/>
          <w:szCs w:val="27"/>
        </w:rPr>
        <w:t>peut</w:t>
      </w:r>
      <w:proofErr w:type="spellEnd"/>
      <w:r w:rsidRPr="00860A16">
        <w:rPr>
          <w:rFonts w:ascii="Times New Roman" w:eastAsia="Times New Roman" w:hAnsi="Times New Roman" w:cs="Times New Roman"/>
          <w:b/>
          <w:bCs/>
          <w:color w:val="000000"/>
          <w:sz w:val="27"/>
          <w:szCs w:val="27"/>
        </w:rPr>
        <w:t xml:space="preserve"> le </w:t>
      </w:r>
      <w:proofErr w:type="spellStart"/>
      <w:r w:rsidRPr="00860A16">
        <w:rPr>
          <w:rFonts w:ascii="Times New Roman" w:eastAsia="Times New Roman" w:hAnsi="Times New Roman" w:cs="Times New Roman"/>
          <w:b/>
          <w:bCs/>
          <w:color w:val="000000"/>
          <w:sz w:val="27"/>
          <w:szCs w:val="27"/>
        </w:rPr>
        <w:t>moins</w:t>
      </w:r>
      <w:proofErr w:type="spellEnd"/>
      <w:r w:rsidRPr="00860A16">
        <w:rPr>
          <w:rFonts w:ascii="Times New Roman" w:eastAsia="Times New Roman" w:hAnsi="Times New Roman" w:cs="Times New Roman"/>
          <w:b/>
          <w:bCs/>
          <w:color w:val="000000"/>
          <w:sz w:val="26"/>
          <w:szCs w:val="26"/>
          <w:rtl/>
        </w:rPr>
        <w:t> يكون المرجع الذي يمكنه التعيين هو الذي يعود له الترفيع.</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49" w:name="Anchor672"/>
      <w:bookmarkStart w:id="50" w:name="TM2015_147_3"/>
      <w:bookmarkEnd w:id="49"/>
      <w:bookmarkEnd w:id="50"/>
      <w:r w:rsidRPr="00860A16">
        <w:rPr>
          <w:rFonts w:ascii="Times New Roman" w:eastAsia="Times New Roman" w:hAnsi="Times New Roman" w:cs="Times New Roman"/>
          <w:b/>
          <w:bCs/>
          <w:color w:val="000000"/>
          <w:sz w:val="26"/>
          <w:szCs w:val="26"/>
          <w:rtl/>
        </w:rPr>
        <w:t>وحيث أنه تبعاً لذلك لا يدخل في مهام مجلس الجامعة سوى ترشيح الترفيع دون صلاحية التقرير بشأنه ويكون تاريخ الترفيع هو تاريخ صدور مرسوم به بعد اتخاذ قرار من مقام مجلس الوزراء بهذا الصدد وليس أي تاريخ سابق له.</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51" w:name="Anchor692"/>
      <w:bookmarkEnd w:id="51"/>
      <w:r w:rsidRPr="00860A16">
        <w:rPr>
          <w:rFonts w:ascii="Times New Roman" w:eastAsia="Times New Roman" w:hAnsi="Times New Roman" w:cs="Times New Roman"/>
          <w:color w:val="000000"/>
          <w:sz w:val="27"/>
          <w:szCs w:val="27"/>
          <w:rtl/>
        </w:rPr>
        <w:t>تبعاً للتعليل السابق، وفيما خص من أحيل على التقاعد،</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52" w:name="Anchor698"/>
      <w:bookmarkStart w:id="53" w:name="TM2015_147_4"/>
      <w:bookmarkEnd w:id="52"/>
      <w:bookmarkEnd w:id="53"/>
      <w:r w:rsidRPr="00860A16">
        <w:rPr>
          <w:rFonts w:ascii="Times New Roman" w:eastAsia="Times New Roman" w:hAnsi="Times New Roman" w:cs="Times New Roman"/>
          <w:b/>
          <w:bCs/>
          <w:color w:val="000000"/>
          <w:sz w:val="26"/>
          <w:szCs w:val="26"/>
          <w:rtl/>
        </w:rPr>
        <w:t>حيث أنه لا مجال للإجتهاد أو للتفسير في ظل أحكام القانون الواضحة الصريحة التي تنص على:</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54" w:name="Anchor707"/>
      <w:bookmarkEnd w:id="54"/>
      <w:r w:rsidRPr="00860A16">
        <w:rPr>
          <w:rFonts w:ascii="Times New Roman" w:eastAsia="Times New Roman" w:hAnsi="Times New Roman" w:cs="Times New Roman"/>
          <w:color w:val="000000"/>
          <w:sz w:val="27"/>
          <w:szCs w:val="27"/>
          <w:rtl/>
        </w:rPr>
        <w:t>1</w:t>
      </w:r>
      <w:r w:rsidRPr="00860A16">
        <w:rPr>
          <w:rFonts w:ascii="Simplified Arabic" w:eastAsia="Times New Roman" w:hAnsi="Simplified Arabic" w:cs="Simplified Arabic"/>
          <w:b/>
          <w:bCs/>
          <w:color w:val="000000"/>
          <w:sz w:val="26"/>
          <w:szCs w:val="26"/>
          <w:rtl/>
        </w:rPr>
        <w:t>- </w:t>
      </w:r>
      <w:r w:rsidRPr="00860A16">
        <w:rPr>
          <w:rFonts w:ascii="Times New Roman" w:eastAsia="Times New Roman" w:hAnsi="Times New Roman" w:cs="Times New Roman"/>
          <w:b/>
          <w:bCs/>
          <w:color w:val="000000"/>
          <w:sz w:val="26"/>
          <w:szCs w:val="26"/>
          <w:rtl/>
        </w:rPr>
        <w:t>أن المحال على التقاعد يخرج نهائياً من الملاك ولا يجوز إعادته الى الخدمة، ولو بشكل مجازي وإعتباري بهدف ترقيته.</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55" w:name="Anchor720"/>
      <w:bookmarkEnd w:id="55"/>
      <w:r w:rsidRPr="00860A16">
        <w:rPr>
          <w:rFonts w:ascii="Simplified Arabic" w:eastAsia="Times New Roman" w:hAnsi="Simplified Arabic" w:cs="Simplified Arabic"/>
          <w:b/>
          <w:bCs/>
          <w:color w:val="000000"/>
          <w:sz w:val="26"/>
          <w:szCs w:val="26"/>
          <w:rtl/>
        </w:rPr>
        <w:t>2- </w:t>
      </w:r>
      <w:r w:rsidRPr="00860A16">
        <w:rPr>
          <w:rFonts w:ascii="Times New Roman" w:eastAsia="Times New Roman" w:hAnsi="Times New Roman" w:cs="Times New Roman"/>
          <w:b/>
          <w:bCs/>
          <w:color w:val="000000"/>
          <w:sz w:val="26"/>
          <w:szCs w:val="26"/>
          <w:rtl/>
        </w:rPr>
        <w:t>أن المحال على التقاعد غير قابل للترفيع لعلّة تواجده خارج الملاك تواجداً يحول دون انتقاله من رتبة الى رتبة أو من فئة لفئة كون هذا الانتقال لا يصح الا للموظف المتواجد داخل الملاك.</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56" w:name="Anchor738"/>
      <w:bookmarkEnd w:id="56"/>
      <w:r w:rsidRPr="00860A16">
        <w:rPr>
          <w:rFonts w:ascii="Times New Roman" w:eastAsia="Times New Roman" w:hAnsi="Times New Roman" w:cs="Times New Roman"/>
          <w:b/>
          <w:bCs/>
          <w:color w:val="000000"/>
          <w:sz w:val="26"/>
          <w:szCs w:val="26"/>
          <w:rtl/>
        </w:rPr>
        <w:t>وحيث أنه لا يغير في هذه النتيجة تأخر الترفيع بسبب الاجراءات الادارية لعدم لحظ هذه الحالة في أنظمة الوظيفة العامة التي لا مجال لتعديل أو لتفسير أو للاجتهاد فيما خصّ أحكامها الواضحة.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57" w:name="Anchor757"/>
      <w:bookmarkStart w:id="58" w:name="TM2015_147_5"/>
      <w:bookmarkEnd w:id="57"/>
      <w:bookmarkEnd w:id="58"/>
      <w:r w:rsidRPr="00860A16">
        <w:rPr>
          <w:rFonts w:ascii="Times New Roman" w:eastAsia="Times New Roman" w:hAnsi="Times New Roman" w:cs="Times New Roman"/>
          <w:b/>
          <w:bCs/>
          <w:color w:val="000000"/>
          <w:sz w:val="26"/>
          <w:szCs w:val="26"/>
          <w:rtl/>
        </w:rPr>
        <w:t>أما بالنسبة الى قرار مقام مجلس الوزراء رقم 49 تاريخ 27/11/2014،</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59" w:name="Anchor763"/>
      <w:bookmarkEnd w:id="59"/>
      <w:r w:rsidRPr="00860A16">
        <w:rPr>
          <w:rFonts w:ascii="Times New Roman" w:eastAsia="Times New Roman" w:hAnsi="Times New Roman" w:cs="Times New Roman"/>
          <w:b/>
          <w:bCs/>
          <w:color w:val="000000"/>
          <w:sz w:val="26"/>
          <w:szCs w:val="26"/>
          <w:rtl/>
        </w:rPr>
        <w:t>حيث أنه من المؤكد أن مجلس الوزراء لم يرمِ بقراره المذكور الى ترفيع أساتذة او أساتذة مساعدين أو معيدين من بين غير المستحقين وفقاً للأنظمة والقوانين السابق بيانها لا سيما وأن الجامعة اللبنانية لم تعرض عليه حالة المتقاعدين لاتخاذ القرار بترقيتهم بشكل واضح وصريح.</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60" w:name="Anchor791"/>
      <w:bookmarkEnd w:id="60"/>
      <w:r w:rsidRPr="00860A16">
        <w:rPr>
          <w:rFonts w:ascii="Times New Roman" w:eastAsia="Times New Roman" w:hAnsi="Times New Roman" w:cs="Times New Roman"/>
          <w:b/>
          <w:bCs/>
          <w:color w:val="000000"/>
          <w:sz w:val="26"/>
          <w:szCs w:val="26"/>
          <w:rtl/>
        </w:rPr>
        <w:t>وحيث أن اتخاذ قرارات مجلس الوزراء يتم وفقاً للقوانين والأنظمة لذا فإنه إذا شمل الأساتذة والأساتذة المساعدين والمعيدين الذين يستحقون الترفيع وفقاً لهذه القوانين والأنظمة، غير أنه لم يشمل حتماً أولئك الذين لا يستحقون الترفيع بسبب إحالتهم على التقاعد.</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61" w:name="Anchor816"/>
      <w:bookmarkEnd w:id="61"/>
      <w:r w:rsidRPr="00860A16">
        <w:rPr>
          <w:rFonts w:ascii="Times New Roman" w:eastAsia="Times New Roman" w:hAnsi="Times New Roman" w:cs="Times New Roman"/>
          <w:b/>
          <w:bCs/>
          <w:color w:val="000000"/>
          <w:sz w:val="26"/>
          <w:szCs w:val="26"/>
          <w:rtl/>
        </w:rPr>
        <w:t>وحيث أنه تبعاً لذلك وخلافاً لما تدلي به الجامعة اللبنانية، لا تشكل الحالة الحاضرة إعادة نظر بمشاريع المراسيم التي وافق عليها مقام مجلس الوزارء، بحيث أن هذه الموافقة تبقى قائمة لمستحقي الترفيع إلا أنه يقتضي تعديلها عن طريق إخراج الأسماء الواردة في مشاريع المراسيم والعائدة لمن أحيل منهم على التقاعد.</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62" w:name="Anchor847"/>
      <w:bookmarkEnd w:id="62"/>
      <w:r w:rsidRPr="00860A16">
        <w:rPr>
          <w:rFonts w:ascii="Times New Roman" w:eastAsia="Times New Roman" w:hAnsi="Times New Roman" w:cs="Times New Roman"/>
          <w:color w:val="000000"/>
          <w:sz w:val="27"/>
          <w:szCs w:val="27"/>
          <w:rtl/>
        </w:rPr>
        <w:t>لذلك،</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63" w:name="Anchor848"/>
      <w:bookmarkEnd w:id="63"/>
      <w:r w:rsidRPr="00860A16">
        <w:rPr>
          <w:rFonts w:ascii="Times New Roman" w:eastAsia="Times New Roman" w:hAnsi="Times New Roman" w:cs="Times New Roman"/>
          <w:color w:val="000000"/>
          <w:sz w:val="27"/>
          <w:szCs w:val="27"/>
          <w:rtl/>
        </w:rPr>
        <w:t>ترى الهيئة: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64" w:name="Anchor850"/>
      <w:bookmarkEnd w:id="64"/>
      <w:r w:rsidRPr="00860A16">
        <w:rPr>
          <w:rFonts w:ascii="Times New Roman" w:eastAsia="Times New Roman" w:hAnsi="Times New Roman" w:cs="Times New Roman"/>
          <w:color w:val="000000"/>
          <w:sz w:val="27"/>
          <w:szCs w:val="27"/>
          <w:rtl/>
        </w:rPr>
        <w:t>أولاً – أنه لا مجال للقول حاضراً بقيام وضع من إعادة النظر بالمراسيم، موضوع هذه الاستشارة.</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65" w:name="Anchor858"/>
      <w:bookmarkEnd w:id="65"/>
      <w:r w:rsidRPr="00860A16">
        <w:rPr>
          <w:rFonts w:ascii="Times New Roman" w:eastAsia="Times New Roman" w:hAnsi="Times New Roman" w:cs="Times New Roman"/>
          <w:color w:val="000000"/>
          <w:sz w:val="27"/>
          <w:szCs w:val="27"/>
          <w:rtl/>
        </w:rPr>
        <w:t>ثانياً- أنه عملاً بعدم رجعية القرارات الادارية لا توجد أية سلطة تقدير تخول تقرير الترفيع لغير مستحقيه.</w:t>
      </w:r>
    </w:p>
    <w:p w:rsidR="00860A16" w:rsidRPr="00860A16" w:rsidRDefault="00860A16" w:rsidP="00860A16">
      <w:pPr>
        <w:bidi/>
        <w:spacing w:after="0" w:line="260" w:lineRule="atLeast"/>
        <w:ind w:firstLine="220"/>
        <w:rPr>
          <w:rFonts w:ascii="Times New Roman" w:eastAsia="Times New Roman" w:hAnsi="Times New Roman" w:cs="Times New Roman"/>
          <w:color w:val="000000"/>
          <w:sz w:val="27"/>
          <w:szCs w:val="27"/>
          <w:rtl/>
        </w:rPr>
      </w:pPr>
      <w:bookmarkStart w:id="66" w:name="Anchor868"/>
      <w:bookmarkEnd w:id="66"/>
      <w:r w:rsidRPr="00860A16">
        <w:rPr>
          <w:rFonts w:ascii="Times New Roman" w:eastAsia="Times New Roman" w:hAnsi="Times New Roman" w:cs="Times New Roman"/>
          <w:color w:val="000000"/>
          <w:sz w:val="27"/>
          <w:szCs w:val="27"/>
          <w:rtl/>
        </w:rPr>
        <w:t xml:space="preserve">ثالثاً- أنه يتوجب تصحيح لوائح أسماء المشمولين بمشاريع المراسيم كي يستثنى منها من لا يستوفون شروط الترفيع لا سيما من أحيل منهم على التقاعد وهذا التصحيح لا يتصف بوصف الرجوع عن قرار </w:t>
      </w:r>
      <w:r w:rsidRPr="00860A16">
        <w:rPr>
          <w:rFonts w:ascii="Times New Roman" w:eastAsia="Times New Roman" w:hAnsi="Times New Roman" w:cs="Times New Roman"/>
          <w:color w:val="000000"/>
          <w:sz w:val="27"/>
          <w:szCs w:val="27"/>
          <w:rtl/>
        </w:rPr>
        <w:lastRenderedPageBreak/>
        <w:t>مجلس الوزارء رقم 49/2014 الذي صدر بترفيع مستحقيه أي من تتوفر فيه شروطه التي أولها عدم إحالته على التقاعد.</w:t>
      </w:r>
    </w:p>
    <w:p w:rsidR="00860A16" w:rsidRPr="00860A16" w:rsidRDefault="00860A16" w:rsidP="00860A16">
      <w:pPr>
        <w:spacing w:after="0" w:line="240" w:lineRule="auto"/>
        <w:rPr>
          <w:rFonts w:ascii="Times New Roman" w:eastAsia="Times New Roman" w:hAnsi="Times New Roman" w:cs="Times New Roman"/>
          <w:sz w:val="24"/>
          <w:szCs w:val="24"/>
          <w:rtl/>
        </w:rPr>
      </w:pPr>
    </w:p>
    <w:p w:rsidR="00860A16" w:rsidRPr="00860A16" w:rsidRDefault="00860A16" w:rsidP="00860A16">
      <w:pPr>
        <w:bidi/>
        <w:spacing w:after="0" w:line="260" w:lineRule="atLeast"/>
        <w:jc w:val="center"/>
        <w:rPr>
          <w:rFonts w:ascii="Times New Roman" w:eastAsia="Times New Roman" w:hAnsi="Times New Roman" w:cs="Times New Roman"/>
          <w:color w:val="000000"/>
          <w:sz w:val="27"/>
          <w:szCs w:val="27"/>
        </w:rPr>
      </w:pPr>
      <w:bookmarkStart w:id="67" w:name="Anchor894"/>
      <w:bookmarkEnd w:id="67"/>
      <w:r w:rsidRPr="00860A16">
        <w:rPr>
          <w:rFonts w:ascii="Times New Roman" w:eastAsia="Times New Roman" w:hAnsi="Times New Roman" w:cs="Times New Roman"/>
          <w:color w:val="000000"/>
          <w:sz w:val="27"/>
          <w:szCs w:val="27"/>
          <w:rtl/>
        </w:rPr>
        <w:t>* * *</w:t>
      </w:r>
    </w:p>
    <w:p w:rsidR="00E11C15" w:rsidRDefault="00E11C15"/>
    <w:sectPr w:rsidR="00E11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hbar MT">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16"/>
    <w:rsid w:val="00860A16"/>
    <w:rsid w:val="00E1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5DF07-10ED-4664-8F5B-4122D74D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0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08671">
      <w:bodyDiv w:val="1"/>
      <w:marLeft w:val="0"/>
      <w:marRight w:val="0"/>
      <w:marTop w:val="0"/>
      <w:marBottom w:val="0"/>
      <w:divBdr>
        <w:top w:val="none" w:sz="0" w:space="0" w:color="auto"/>
        <w:left w:val="none" w:sz="0" w:space="0" w:color="auto"/>
        <w:bottom w:val="none" w:sz="0" w:space="0" w:color="auto"/>
        <w:right w:val="none" w:sz="0" w:space="0" w:color="auto"/>
      </w:divBdr>
      <w:divsChild>
        <w:div w:id="1404570239">
          <w:marLeft w:val="0"/>
          <w:marRight w:val="0"/>
          <w:marTop w:val="140"/>
          <w:marBottom w:val="0"/>
          <w:divBdr>
            <w:top w:val="none" w:sz="0" w:space="0" w:color="auto"/>
            <w:left w:val="none" w:sz="0" w:space="0" w:color="auto"/>
            <w:bottom w:val="none" w:sz="0" w:space="0" w:color="auto"/>
            <w:right w:val="none" w:sz="0" w:space="0" w:color="auto"/>
          </w:divBdr>
        </w:div>
        <w:div w:id="1209486685">
          <w:marLeft w:val="0"/>
          <w:marRight w:val="0"/>
          <w:marTop w:val="40"/>
          <w:marBottom w:val="0"/>
          <w:divBdr>
            <w:top w:val="none" w:sz="0" w:space="0" w:color="auto"/>
            <w:left w:val="none" w:sz="0" w:space="0" w:color="auto"/>
            <w:bottom w:val="none" w:sz="0" w:space="0" w:color="auto"/>
            <w:right w:val="none" w:sz="0" w:space="0" w:color="auto"/>
          </w:divBdr>
        </w:div>
        <w:div w:id="61484880">
          <w:marLeft w:val="0"/>
          <w:marRight w:val="1260"/>
          <w:marTop w:val="240"/>
          <w:marBottom w:val="0"/>
          <w:divBdr>
            <w:top w:val="none" w:sz="0" w:space="0" w:color="auto"/>
            <w:left w:val="none" w:sz="0" w:space="0" w:color="auto"/>
            <w:bottom w:val="none" w:sz="0" w:space="0" w:color="auto"/>
            <w:right w:val="none" w:sz="0" w:space="0" w:color="auto"/>
          </w:divBdr>
        </w:div>
        <w:div w:id="738751563">
          <w:marLeft w:val="0"/>
          <w:marRight w:val="980"/>
          <w:marTop w:val="240"/>
          <w:marBottom w:val="0"/>
          <w:divBdr>
            <w:top w:val="none" w:sz="0" w:space="0" w:color="auto"/>
            <w:left w:val="none" w:sz="0" w:space="0" w:color="auto"/>
            <w:bottom w:val="none" w:sz="0" w:space="0" w:color="auto"/>
            <w:right w:val="none" w:sz="0" w:space="0" w:color="auto"/>
          </w:divBdr>
        </w:div>
        <w:div w:id="243034834">
          <w:marLeft w:val="0"/>
          <w:marRight w:val="980"/>
          <w:marTop w:val="240"/>
          <w:marBottom w:val="0"/>
          <w:divBdr>
            <w:top w:val="none" w:sz="0" w:space="0" w:color="auto"/>
            <w:left w:val="none" w:sz="0" w:space="0" w:color="auto"/>
            <w:bottom w:val="none" w:sz="0" w:space="0" w:color="auto"/>
            <w:right w:val="none" w:sz="0" w:space="0" w:color="auto"/>
          </w:divBdr>
        </w:div>
        <w:div w:id="262809080">
          <w:marLeft w:val="0"/>
          <w:marRight w:val="560"/>
          <w:marTop w:val="240"/>
          <w:marBottom w:val="0"/>
          <w:divBdr>
            <w:top w:val="none" w:sz="0" w:space="0" w:color="auto"/>
            <w:left w:val="none" w:sz="0" w:space="0" w:color="auto"/>
            <w:bottom w:val="none" w:sz="0" w:space="0" w:color="auto"/>
            <w:right w:val="none" w:sz="0" w:space="0" w:color="auto"/>
          </w:divBdr>
        </w:div>
        <w:div w:id="749236076">
          <w:marLeft w:val="0"/>
          <w:marRight w:val="560"/>
          <w:marTop w:val="240"/>
          <w:marBottom w:val="0"/>
          <w:divBdr>
            <w:top w:val="none" w:sz="0" w:space="0" w:color="auto"/>
            <w:left w:val="none" w:sz="0" w:space="0" w:color="auto"/>
            <w:bottom w:val="none" w:sz="0" w:space="0" w:color="auto"/>
            <w:right w:val="none" w:sz="0" w:space="0" w:color="auto"/>
          </w:divBdr>
        </w:div>
        <w:div w:id="639725573">
          <w:marLeft w:val="0"/>
          <w:marRight w:val="560"/>
          <w:marTop w:val="240"/>
          <w:marBottom w:val="0"/>
          <w:divBdr>
            <w:top w:val="none" w:sz="0" w:space="0" w:color="auto"/>
            <w:left w:val="none" w:sz="0" w:space="0" w:color="auto"/>
            <w:bottom w:val="none" w:sz="0" w:space="0" w:color="auto"/>
            <w:right w:val="none" w:sz="0" w:space="0" w:color="auto"/>
          </w:divBdr>
        </w:div>
        <w:div w:id="111901598">
          <w:marLeft w:val="0"/>
          <w:marRight w:val="560"/>
          <w:marTop w:val="240"/>
          <w:marBottom w:val="0"/>
          <w:divBdr>
            <w:top w:val="none" w:sz="0" w:space="0" w:color="auto"/>
            <w:left w:val="none" w:sz="0" w:space="0" w:color="auto"/>
            <w:bottom w:val="none" w:sz="0" w:space="0" w:color="auto"/>
            <w:right w:val="none" w:sz="0" w:space="0" w:color="auto"/>
          </w:divBdr>
        </w:div>
        <w:div w:id="405804874">
          <w:marLeft w:val="0"/>
          <w:marRight w:val="560"/>
          <w:marTop w:val="240"/>
          <w:marBottom w:val="0"/>
          <w:divBdr>
            <w:top w:val="none" w:sz="0" w:space="0" w:color="auto"/>
            <w:left w:val="none" w:sz="0" w:space="0" w:color="auto"/>
            <w:bottom w:val="none" w:sz="0" w:space="0" w:color="auto"/>
            <w:right w:val="none" w:sz="0" w:space="0" w:color="auto"/>
          </w:divBdr>
        </w:div>
        <w:div w:id="1930580087">
          <w:marLeft w:val="0"/>
          <w:marRight w:val="0"/>
          <w:marTop w:val="80"/>
          <w:marBottom w:val="0"/>
          <w:divBdr>
            <w:top w:val="none" w:sz="0" w:space="0" w:color="auto"/>
            <w:left w:val="none" w:sz="0" w:space="0" w:color="auto"/>
            <w:bottom w:val="none" w:sz="0" w:space="0" w:color="auto"/>
            <w:right w:val="none" w:sz="0" w:space="0" w:color="auto"/>
          </w:divBdr>
        </w:div>
        <w:div w:id="235748901">
          <w:marLeft w:val="0"/>
          <w:marRight w:val="0"/>
          <w:marTop w:val="80"/>
          <w:marBottom w:val="0"/>
          <w:divBdr>
            <w:top w:val="none" w:sz="0" w:space="0" w:color="auto"/>
            <w:left w:val="none" w:sz="0" w:space="0" w:color="auto"/>
            <w:bottom w:val="none" w:sz="0" w:space="0" w:color="auto"/>
            <w:right w:val="none" w:sz="0" w:space="0" w:color="auto"/>
          </w:divBdr>
        </w:div>
        <w:div w:id="452291986">
          <w:marLeft w:val="0"/>
          <w:marRight w:val="0"/>
          <w:marTop w:val="80"/>
          <w:marBottom w:val="0"/>
          <w:divBdr>
            <w:top w:val="none" w:sz="0" w:space="0" w:color="auto"/>
            <w:left w:val="none" w:sz="0" w:space="0" w:color="auto"/>
            <w:bottom w:val="none" w:sz="0" w:space="0" w:color="auto"/>
            <w:right w:val="none" w:sz="0" w:space="0" w:color="auto"/>
          </w:divBdr>
        </w:div>
        <w:div w:id="828716136">
          <w:marLeft w:val="0"/>
          <w:marRight w:val="0"/>
          <w:marTop w:val="80"/>
          <w:marBottom w:val="0"/>
          <w:divBdr>
            <w:top w:val="none" w:sz="0" w:space="0" w:color="auto"/>
            <w:left w:val="none" w:sz="0" w:space="0" w:color="auto"/>
            <w:bottom w:val="none" w:sz="0" w:space="0" w:color="auto"/>
            <w:right w:val="none" w:sz="0" w:space="0" w:color="auto"/>
          </w:divBdr>
        </w:div>
        <w:div w:id="302273174">
          <w:marLeft w:val="0"/>
          <w:marRight w:val="0"/>
          <w:marTop w:val="80"/>
          <w:marBottom w:val="0"/>
          <w:divBdr>
            <w:top w:val="none" w:sz="0" w:space="0" w:color="auto"/>
            <w:left w:val="none" w:sz="0" w:space="0" w:color="auto"/>
            <w:bottom w:val="none" w:sz="0" w:space="0" w:color="auto"/>
            <w:right w:val="none" w:sz="0" w:space="0" w:color="auto"/>
          </w:divBdr>
        </w:div>
        <w:div w:id="1620259181">
          <w:marLeft w:val="0"/>
          <w:marRight w:val="0"/>
          <w:marTop w:val="80"/>
          <w:marBottom w:val="0"/>
          <w:divBdr>
            <w:top w:val="none" w:sz="0" w:space="0" w:color="auto"/>
            <w:left w:val="none" w:sz="0" w:space="0" w:color="auto"/>
            <w:bottom w:val="none" w:sz="0" w:space="0" w:color="auto"/>
            <w:right w:val="none" w:sz="0" w:space="0" w:color="auto"/>
          </w:divBdr>
        </w:div>
        <w:div w:id="687877635">
          <w:marLeft w:val="0"/>
          <w:marRight w:val="0"/>
          <w:marTop w:val="80"/>
          <w:marBottom w:val="0"/>
          <w:divBdr>
            <w:top w:val="none" w:sz="0" w:space="0" w:color="auto"/>
            <w:left w:val="none" w:sz="0" w:space="0" w:color="auto"/>
            <w:bottom w:val="none" w:sz="0" w:space="0" w:color="auto"/>
            <w:right w:val="none" w:sz="0" w:space="0" w:color="auto"/>
          </w:divBdr>
        </w:div>
        <w:div w:id="841550584">
          <w:marLeft w:val="0"/>
          <w:marRight w:val="0"/>
          <w:marTop w:val="80"/>
          <w:marBottom w:val="0"/>
          <w:divBdr>
            <w:top w:val="none" w:sz="0" w:space="0" w:color="auto"/>
            <w:left w:val="none" w:sz="0" w:space="0" w:color="auto"/>
            <w:bottom w:val="none" w:sz="0" w:space="0" w:color="auto"/>
            <w:right w:val="none" w:sz="0" w:space="0" w:color="auto"/>
          </w:divBdr>
        </w:div>
        <w:div w:id="1735930596">
          <w:marLeft w:val="0"/>
          <w:marRight w:val="0"/>
          <w:marTop w:val="80"/>
          <w:marBottom w:val="0"/>
          <w:divBdr>
            <w:top w:val="none" w:sz="0" w:space="0" w:color="auto"/>
            <w:left w:val="none" w:sz="0" w:space="0" w:color="auto"/>
            <w:bottom w:val="none" w:sz="0" w:space="0" w:color="auto"/>
            <w:right w:val="none" w:sz="0" w:space="0" w:color="auto"/>
          </w:divBdr>
        </w:div>
        <w:div w:id="1886402751">
          <w:marLeft w:val="0"/>
          <w:marRight w:val="0"/>
          <w:marTop w:val="80"/>
          <w:marBottom w:val="0"/>
          <w:divBdr>
            <w:top w:val="none" w:sz="0" w:space="0" w:color="auto"/>
            <w:left w:val="none" w:sz="0" w:space="0" w:color="auto"/>
            <w:bottom w:val="none" w:sz="0" w:space="0" w:color="auto"/>
            <w:right w:val="none" w:sz="0" w:space="0" w:color="auto"/>
          </w:divBdr>
        </w:div>
        <w:div w:id="151992976">
          <w:marLeft w:val="0"/>
          <w:marRight w:val="0"/>
          <w:marTop w:val="80"/>
          <w:marBottom w:val="0"/>
          <w:divBdr>
            <w:top w:val="none" w:sz="0" w:space="0" w:color="auto"/>
            <w:left w:val="none" w:sz="0" w:space="0" w:color="auto"/>
            <w:bottom w:val="none" w:sz="0" w:space="0" w:color="auto"/>
            <w:right w:val="none" w:sz="0" w:space="0" w:color="auto"/>
          </w:divBdr>
        </w:div>
        <w:div w:id="942153693">
          <w:marLeft w:val="0"/>
          <w:marRight w:val="0"/>
          <w:marTop w:val="80"/>
          <w:marBottom w:val="0"/>
          <w:divBdr>
            <w:top w:val="none" w:sz="0" w:space="0" w:color="auto"/>
            <w:left w:val="none" w:sz="0" w:space="0" w:color="auto"/>
            <w:bottom w:val="none" w:sz="0" w:space="0" w:color="auto"/>
            <w:right w:val="none" w:sz="0" w:space="0" w:color="auto"/>
          </w:divBdr>
        </w:div>
        <w:div w:id="1893956615">
          <w:marLeft w:val="0"/>
          <w:marRight w:val="0"/>
          <w:marTop w:val="80"/>
          <w:marBottom w:val="0"/>
          <w:divBdr>
            <w:top w:val="none" w:sz="0" w:space="0" w:color="auto"/>
            <w:left w:val="none" w:sz="0" w:space="0" w:color="auto"/>
            <w:bottom w:val="none" w:sz="0" w:space="0" w:color="auto"/>
            <w:right w:val="none" w:sz="0" w:space="0" w:color="auto"/>
          </w:divBdr>
        </w:div>
        <w:div w:id="1028065253">
          <w:marLeft w:val="0"/>
          <w:marRight w:val="0"/>
          <w:marTop w:val="80"/>
          <w:marBottom w:val="0"/>
          <w:divBdr>
            <w:top w:val="none" w:sz="0" w:space="0" w:color="auto"/>
            <w:left w:val="none" w:sz="0" w:space="0" w:color="auto"/>
            <w:bottom w:val="none" w:sz="0" w:space="0" w:color="auto"/>
            <w:right w:val="none" w:sz="0" w:space="0" w:color="auto"/>
          </w:divBdr>
        </w:div>
        <w:div w:id="1954700928">
          <w:marLeft w:val="0"/>
          <w:marRight w:val="0"/>
          <w:marTop w:val="80"/>
          <w:marBottom w:val="0"/>
          <w:divBdr>
            <w:top w:val="none" w:sz="0" w:space="0" w:color="auto"/>
            <w:left w:val="none" w:sz="0" w:space="0" w:color="auto"/>
            <w:bottom w:val="none" w:sz="0" w:space="0" w:color="auto"/>
            <w:right w:val="none" w:sz="0" w:space="0" w:color="auto"/>
          </w:divBdr>
        </w:div>
        <w:div w:id="1745880101">
          <w:marLeft w:val="0"/>
          <w:marRight w:val="0"/>
          <w:marTop w:val="80"/>
          <w:marBottom w:val="0"/>
          <w:divBdr>
            <w:top w:val="none" w:sz="0" w:space="0" w:color="auto"/>
            <w:left w:val="none" w:sz="0" w:space="0" w:color="auto"/>
            <w:bottom w:val="none" w:sz="0" w:space="0" w:color="auto"/>
            <w:right w:val="none" w:sz="0" w:space="0" w:color="auto"/>
          </w:divBdr>
        </w:div>
        <w:div w:id="398601031">
          <w:marLeft w:val="0"/>
          <w:marRight w:val="0"/>
          <w:marTop w:val="80"/>
          <w:marBottom w:val="0"/>
          <w:divBdr>
            <w:top w:val="none" w:sz="0" w:space="0" w:color="auto"/>
            <w:left w:val="none" w:sz="0" w:space="0" w:color="auto"/>
            <w:bottom w:val="none" w:sz="0" w:space="0" w:color="auto"/>
            <w:right w:val="none" w:sz="0" w:space="0" w:color="auto"/>
          </w:divBdr>
        </w:div>
        <w:div w:id="1732772949">
          <w:marLeft w:val="0"/>
          <w:marRight w:val="0"/>
          <w:marTop w:val="80"/>
          <w:marBottom w:val="0"/>
          <w:divBdr>
            <w:top w:val="none" w:sz="0" w:space="0" w:color="auto"/>
            <w:left w:val="none" w:sz="0" w:space="0" w:color="auto"/>
            <w:bottom w:val="none" w:sz="0" w:space="0" w:color="auto"/>
            <w:right w:val="none" w:sz="0" w:space="0" w:color="auto"/>
          </w:divBdr>
        </w:div>
        <w:div w:id="1282227687">
          <w:marLeft w:val="0"/>
          <w:marRight w:val="0"/>
          <w:marTop w:val="80"/>
          <w:marBottom w:val="0"/>
          <w:divBdr>
            <w:top w:val="none" w:sz="0" w:space="0" w:color="auto"/>
            <w:left w:val="none" w:sz="0" w:space="0" w:color="auto"/>
            <w:bottom w:val="none" w:sz="0" w:space="0" w:color="auto"/>
            <w:right w:val="none" w:sz="0" w:space="0" w:color="auto"/>
          </w:divBdr>
        </w:div>
        <w:div w:id="1447655209">
          <w:marLeft w:val="0"/>
          <w:marRight w:val="0"/>
          <w:marTop w:val="80"/>
          <w:marBottom w:val="0"/>
          <w:divBdr>
            <w:top w:val="none" w:sz="0" w:space="0" w:color="auto"/>
            <w:left w:val="none" w:sz="0" w:space="0" w:color="auto"/>
            <w:bottom w:val="none" w:sz="0" w:space="0" w:color="auto"/>
            <w:right w:val="none" w:sz="0" w:space="0" w:color="auto"/>
          </w:divBdr>
        </w:div>
        <w:div w:id="84889501">
          <w:marLeft w:val="0"/>
          <w:marRight w:val="0"/>
          <w:marTop w:val="80"/>
          <w:marBottom w:val="0"/>
          <w:divBdr>
            <w:top w:val="none" w:sz="0" w:space="0" w:color="auto"/>
            <w:left w:val="none" w:sz="0" w:space="0" w:color="auto"/>
            <w:bottom w:val="none" w:sz="0" w:space="0" w:color="auto"/>
            <w:right w:val="none" w:sz="0" w:space="0" w:color="auto"/>
          </w:divBdr>
        </w:div>
        <w:div w:id="1676153971">
          <w:marLeft w:val="0"/>
          <w:marRight w:val="0"/>
          <w:marTop w:val="80"/>
          <w:marBottom w:val="0"/>
          <w:divBdr>
            <w:top w:val="none" w:sz="0" w:space="0" w:color="auto"/>
            <w:left w:val="none" w:sz="0" w:space="0" w:color="auto"/>
            <w:bottom w:val="none" w:sz="0" w:space="0" w:color="auto"/>
            <w:right w:val="none" w:sz="0" w:space="0" w:color="auto"/>
          </w:divBdr>
        </w:div>
        <w:div w:id="139201002">
          <w:marLeft w:val="0"/>
          <w:marRight w:val="0"/>
          <w:marTop w:val="80"/>
          <w:marBottom w:val="0"/>
          <w:divBdr>
            <w:top w:val="none" w:sz="0" w:space="0" w:color="auto"/>
            <w:left w:val="none" w:sz="0" w:space="0" w:color="auto"/>
            <w:bottom w:val="none" w:sz="0" w:space="0" w:color="auto"/>
            <w:right w:val="none" w:sz="0" w:space="0" w:color="auto"/>
          </w:divBdr>
        </w:div>
        <w:div w:id="1911887677">
          <w:marLeft w:val="0"/>
          <w:marRight w:val="0"/>
          <w:marTop w:val="80"/>
          <w:marBottom w:val="0"/>
          <w:divBdr>
            <w:top w:val="none" w:sz="0" w:space="0" w:color="auto"/>
            <w:left w:val="none" w:sz="0" w:space="0" w:color="auto"/>
            <w:bottom w:val="none" w:sz="0" w:space="0" w:color="auto"/>
            <w:right w:val="none" w:sz="0" w:space="0" w:color="auto"/>
          </w:divBdr>
        </w:div>
        <w:div w:id="266741169">
          <w:marLeft w:val="0"/>
          <w:marRight w:val="0"/>
          <w:marTop w:val="80"/>
          <w:marBottom w:val="0"/>
          <w:divBdr>
            <w:top w:val="none" w:sz="0" w:space="0" w:color="auto"/>
            <w:left w:val="none" w:sz="0" w:space="0" w:color="auto"/>
            <w:bottom w:val="none" w:sz="0" w:space="0" w:color="auto"/>
            <w:right w:val="none" w:sz="0" w:space="0" w:color="auto"/>
          </w:divBdr>
        </w:div>
        <w:div w:id="338049623">
          <w:marLeft w:val="0"/>
          <w:marRight w:val="0"/>
          <w:marTop w:val="80"/>
          <w:marBottom w:val="0"/>
          <w:divBdr>
            <w:top w:val="none" w:sz="0" w:space="0" w:color="auto"/>
            <w:left w:val="none" w:sz="0" w:space="0" w:color="auto"/>
            <w:bottom w:val="none" w:sz="0" w:space="0" w:color="auto"/>
            <w:right w:val="none" w:sz="0" w:space="0" w:color="auto"/>
          </w:divBdr>
        </w:div>
        <w:div w:id="780951637">
          <w:marLeft w:val="0"/>
          <w:marRight w:val="0"/>
          <w:marTop w:val="80"/>
          <w:marBottom w:val="0"/>
          <w:divBdr>
            <w:top w:val="none" w:sz="0" w:space="0" w:color="auto"/>
            <w:left w:val="none" w:sz="0" w:space="0" w:color="auto"/>
            <w:bottom w:val="none" w:sz="0" w:space="0" w:color="auto"/>
            <w:right w:val="none" w:sz="0" w:space="0" w:color="auto"/>
          </w:divBdr>
        </w:div>
        <w:div w:id="1331062833">
          <w:marLeft w:val="0"/>
          <w:marRight w:val="0"/>
          <w:marTop w:val="80"/>
          <w:marBottom w:val="0"/>
          <w:divBdr>
            <w:top w:val="none" w:sz="0" w:space="0" w:color="auto"/>
            <w:left w:val="none" w:sz="0" w:space="0" w:color="auto"/>
            <w:bottom w:val="none" w:sz="0" w:space="0" w:color="auto"/>
            <w:right w:val="none" w:sz="0" w:space="0" w:color="auto"/>
          </w:divBdr>
        </w:div>
        <w:div w:id="1295596650">
          <w:marLeft w:val="0"/>
          <w:marRight w:val="0"/>
          <w:marTop w:val="80"/>
          <w:marBottom w:val="0"/>
          <w:divBdr>
            <w:top w:val="none" w:sz="0" w:space="0" w:color="auto"/>
            <w:left w:val="none" w:sz="0" w:space="0" w:color="auto"/>
            <w:bottom w:val="none" w:sz="0" w:space="0" w:color="auto"/>
            <w:right w:val="none" w:sz="0" w:space="0" w:color="auto"/>
          </w:divBdr>
        </w:div>
        <w:div w:id="1345134693">
          <w:marLeft w:val="0"/>
          <w:marRight w:val="0"/>
          <w:marTop w:val="80"/>
          <w:marBottom w:val="0"/>
          <w:divBdr>
            <w:top w:val="none" w:sz="0" w:space="0" w:color="auto"/>
            <w:left w:val="none" w:sz="0" w:space="0" w:color="auto"/>
            <w:bottom w:val="none" w:sz="0" w:space="0" w:color="auto"/>
            <w:right w:val="none" w:sz="0" w:space="0" w:color="auto"/>
          </w:divBdr>
        </w:div>
        <w:div w:id="1123812570">
          <w:marLeft w:val="0"/>
          <w:marRight w:val="0"/>
          <w:marTop w:val="80"/>
          <w:marBottom w:val="0"/>
          <w:divBdr>
            <w:top w:val="none" w:sz="0" w:space="0" w:color="auto"/>
            <w:left w:val="none" w:sz="0" w:space="0" w:color="auto"/>
            <w:bottom w:val="none" w:sz="0" w:space="0" w:color="auto"/>
            <w:right w:val="none" w:sz="0" w:space="0" w:color="auto"/>
          </w:divBdr>
        </w:div>
        <w:div w:id="616646508">
          <w:marLeft w:val="0"/>
          <w:marRight w:val="0"/>
          <w:marTop w:val="80"/>
          <w:marBottom w:val="0"/>
          <w:divBdr>
            <w:top w:val="none" w:sz="0" w:space="0" w:color="auto"/>
            <w:left w:val="none" w:sz="0" w:space="0" w:color="auto"/>
            <w:bottom w:val="none" w:sz="0" w:space="0" w:color="auto"/>
            <w:right w:val="none" w:sz="0" w:space="0" w:color="auto"/>
          </w:divBdr>
        </w:div>
        <w:div w:id="709652788">
          <w:marLeft w:val="0"/>
          <w:marRight w:val="0"/>
          <w:marTop w:val="80"/>
          <w:marBottom w:val="0"/>
          <w:divBdr>
            <w:top w:val="none" w:sz="0" w:space="0" w:color="auto"/>
            <w:left w:val="none" w:sz="0" w:space="0" w:color="auto"/>
            <w:bottom w:val="none" w:sz="0" w:space="0" w:color="auto"/>
            <w:right w:val="none" w:sz="0" w:space="0" w:color="auto"/>
          </w:divBdr>
        </w:div>
        <w:div w:id="134879617">
          <w:marLeft w:val="0"/>
          <w:marRight w:val="0"/>
          <w:marTop w:val="80"/>
          <w:marBottom w:val="0"/>
          <w:divBdr>
            <w:top w:val="none" w:sz="0" w:space="0" w:color="auto"/>
            <w:left w:val="none" w:sz="0" w:space="0" w:color="auto"/>
            <w:bottom w:val="none" w:sz="0" w:space="0" w:color="auto"/>
            <w:right w:val="none" w:sz="0" w:space="0" w:color="auto"/>
          </w:divBdr>
        </w:div>
        <w:div w:id="1898935733">
          <w:marLeft w:val="0"/>
          <w:marRight w:val="0"/>
          <w:marTop w:val="80"/>
          <w:marBottom w:val="0"/>
          <w:divBdr>
            <w:top w:val="none" w:sz="0" w:space="0" w:color="auto"/>
            <w:left w:val="none" w:sz="0" w:space="0" w:color="auto"/>
            <w:bottom w:val="none" w:sz="0" w:space="0" w:color="auto"/>
            <w:right w:val="none" w:sz="0" w:space="0" w:color="auto"/>
          </w:divBdr>
        </w:div>
        <w:div w:id="1482500285">
          <w:marLeft w:val="0"/>
          <w:marRight w:val="0"/>
          <w:marTop w:val="80"/>
          <w:marBottom w:val="0"/>
          <w:divBdr>
            <w:top w:val="none" w:sz="0" w:space="0" w:color="auto"/>
            <w:left w:val="none" w:sz="0" w:space="0" w:color="auto"/>
            <w:bottom w:val="none" w:sz="0" w:space="0" w:color="auto"/>
            <w:right w:val="none" w:sz="0" w:space="0" w:color="auto"/>
          </w:divBdr>
        </w:div>
        <w:div w:id="1914393032">
          <w:marLeft w:val="0"/>
          <w:marRight w:val="0"/>
          <w:marTop w:val="80"/>
          <w:marBottom w:val="0"/>
          <w:divBdr>
            <w:top w:val="none" w:sz="0" w:space="0" w:color="auto"/>
            <w:left w:val="none" w:sz="0" w:space="0" w:color="auto"/>
            <w:bottom w:val="none" w:sz="0" w:space="0" w:color="auto"/>
            <w:right w:val="none" w:sz="0" w:space="0" w:color="auto"/>
          </w:divBdr>
        </w:div>
        <w:div w:id="1940942427">
          <w:marLeft w:val="0"/>
          <w:marRight w:val="0"/>
          <w:marTop w:val="80"/>
          <w:marBottom w:val="0"/>
          <w:divBdr>
            <w:top w:val="none" w:sz="0" w:space="0" w:color="auto"/>
            <w:left w:val="none" w:sz="0" w:space="0" w:color="auto"/>
            <w:bottom w:val="none" w:sz="0" w:space="0" w:color="auto"/>
            <w:right w:val="none" w:sz="0" w:space="0" w:color="auto"/>
          </w:divBdr>
        </w:div>
        <w:div w:id="1427075391">
          <w:marLeft w:val="0"/>
          <w:marRight w:val="0"/>
          <w:marTop w:val="80"/>
          <w:marBottom w:val="0"/>
          <w:divBdr>
            <w:top w:val="none" w:sz="0" w:space="0" w:color="auto"/>
            <w:left w:val="none" w:sz="0" w:space="0" w:color="auto"/>
            <w:bottom w:val="none" w:sz="0" w:space="0" w:color="auto"/>
            <w:right w:val="none" w:sz="0" w:space="0" w:color="auto"/>
          </w:divBdr>
        </w:div>
        <w:div w:id="691608195">
          <w:marLeft w:val="0"/>
          <w:marRight w:val="0"/>
          <w:marTop w:val="80"/>
          <w:marBottom w:val="0"/>
          <w:divBdr>
            <w:top w:val="none" w:sz="0" w:space="0" w:color="auto"/>
            <w:left w:val="none" w:sz="0" w:space="0" w:color="auto"/>
            <w:bottom w:val="none" w:sz="0" w:space="0" w:color="auto"/>
            <w:right w:val="none" w:sz="0" w:space="0" w:color="auto"/>
          </w:divBdr>
        </w:div>
        <w:div w:id="367533697">
          <w:marLeft w:val="0"/>
          <w:marRight w:val="0"/>
          <w:marTop w:val="80"/>
          <w:marBottom w:val="0"/>
          <w:divBdr>
            <w:top w:val="none" w:sz="0" w:space="0" w:color="auto"/>
            <w:left w:val="none" w:sz="0" w:space="0" w:color="auto"/>
            <w:bottom w:val="none" w:sz="0" w:space="0" w:color="auto"/>
            <w:right w:val="none" w:sz="0" w:space="0" w:color="auto"/>
          </w:divBdr>
        </w:div>
        <w:div w:id="1365905422">
          <w:marLeft w:val="0"/>
          <w:marRight w:val="0"/>
          <w:marTop w:val="80"/>
          <w:marBottom w:val="0"/>
          <w:divBdr>
            <w:top w:val="none" w:sz="0" w:space="0" w:color="auto"/>
            <w:left w:val="none" w:sz="0" w:space="0" w:color="auto"/>
            <w:bottom w:val="none" w:sz="0" w:space="0" w:color="auto"/>
            <w:right w:val="none" w:sz="0" w:space="0" w:color="auto"/>
          </w:divBdr>
        </w:div>
        <w:div w:id="1989943888">
          <w:marLeft w:val="0"/>
          <w:marRight w:val="0"/>
          <w:marTop w:val="80"/>
          <w:marBottom w:val="0"/>
          <w:divBdr>
            <w:top w:val="none" w:sz="0" w:space="0" w:color="auto"/>
            <w:left w:val="none" w:sz="0" w:space="0" w:color="auto"/>
            <w:bottom w:val="none" w:sz="0" w:space="0" w:color="auto"/>
            <w:right w:val="none" w:sz="0" w:space="0" w:color="auto"/>
          </w:divBdr>
        </w:div>
        <w:div w:id="1653024139">
          <w:marLeft w:val="0"/>
          <w:marRight w:val="0"/>
          <w:marTop w:val="80"/>
          <w:marBottom w:val="0"/>
          <w:divBdr>
            <w:top w:val="none" w:sz="0" w:space="0" w:color="auto"/>
            <w:left w:val="none" w:sz="0" w:space="0" w:color="auto"/>
            <w:bottom w:val="none" w:sz="0" w:space="0" w:color="auto"/>
            <w:right w:val="none" w:sz="0" w:space="0" w:color="auto"/>
          </w:divBdr>
        </w:div>
        <w:div w:id="1413501686">
          <w:marLeft w:val="0"/>
          <w:marRight w:val="0"/>
          <w:marTop w:val="80"/>
          <w:marBottom w:val="0"/>
          <w:divBdr>
            <w:top w:val="none" w:sz="0" w:space="0" w:color="auto"/>
            <w:left w:val="none" w:sz="0" w:space="0" w:color="auto"/>
            <w:bottom w:val="none" w:sz="0" w:space="0" w:color="auto"/>
            <w:right w:val="none" w:sz="0" w:space="0" w:color="auto"/>
          </w:divBdr>
        </w:div>
        <w:div w:id="1279482621">
          <w:marLeft w:val="0"/>
          <w:marRight w:val="0"/>
          <w:marTop w:val="80"/>
          <w:marBottom w:val="0"/>
          <w:divBdr>
            <w:top w:val="none" w:sz="0" w:space="0" w:color="auto"/>
            <w:left w:val="none" w:sz="0" w:space="0" w:color="auto"/>
            <w:bottom w:val="none" w:sz="0" w:space="0" w:color="auto"/>
            <w:right w:val="none" w:sz="0" w:space="0" w:color="auto"/>
          </w:divBdr>
        </w:div>
        <w:div w:id="1052728042">
          <w:marLeft w:val="0"/>
          <w:marRight w:val="0"/>
          <w:marTop w:val="80"/>
          <w:marBottom w:val="0"/>
          <w:divBdr>
            <w:top w:val="none" w:sz="0" w:space="0" w:color="auto"/>
            <w:left w:val="none" w:sz="0" w:space="0" w:color="auto"/>
            <w:bottom w:val="none" w:sz="0" w:space="0" w:color="auto"/>
            <w:right w:val="none" w:sz="0" w:space="0" w:color="auto"/>
          </w:divBdr>
        </w:div>
        <w:div w:id="1908107696">
          <w:marLeft w:val="0"/>
          <w:marRight w:val="0"/>
          <w:marTop w:val="80"/>
          <w:marBottom w:val="0"/>
          <w:divBdr>
            <w:top w:val="none" w:sz="0" w:space="0" w:color="auto"/>
            <w:left w:val="none" w:sz="0" w:space="0" w:color="auto"/>
            <w:bottom w:val="none" w:sz="0" w:space="0" w:color="auto"/>
            <w:right w:val="none" w:sz="0" w:space="0" w:color="auto"/>
          </w:divBdr>
        </w:div>
        <w:div w:id="899827069">
          <w:marLeft w:val="0"/>
          <w:marRight w:val="0"/>
          <w:marTop w:val="80"/>
          <w:marBottom w:val="0"/>
          <w:divBdr>
            <w:top w:val="none" w:sz="0" w:space="0" w:color="auto"/>
            <w:left w:val="none" w:sz="0" w:space="0" w:color="auto"/>
            <w:bottom w:val="none" w:sz="0" w:space="0" w:color="auto"/>
            <w:right w:val="none" w:sz="0" w:space="0" w:color="auto"/>
          </w:divBdr>
        </w:div>
        <w:div w:id="1617830115">
          <w:marLeft w:val="0"/>
          <w:marRight w:val="0"/>
          <w:marTop w:val="80"/>
          <w:marBottom w:val="0"/>
          <w:divBdr>
            <w:top w:val="none" w:sz="0" w:space="0" w:color="auto"/>
            <w:left w:val="none" w:sz="0" w:space="0" w:color="auto"/>
            <w:bottom w:val="none" w:sz="0" w:space="0" w:color="auto"/>
            <w:right w:val="none" w:sz="0" w:space="0" w:color="auto"/>
          </w:divBdr>
        </w:div>
        <w:div w:id="917833571">
          <w:marLeft w:val="0"/>
          <w:marRight w:val="0"/>
          <w:marTop w:val="80"/>
          <w:marBottom w:val="0"/>
          <w:divBdr>
            <w:top w:val="none" w:sz="0" w:space="0" w:color="auto"/>
            <w:left w:val="none" w:sz="0" w:space="0" w:color="auto"/>
            <w:bottom w:val="none" w:sz="0" w:space="0" w:color="auto"/>
            <w:right w:val="none" w:sz="0" w:space="0" w:color="auto"/>
          </w:divBdr>
        </w:div>
        <w:div w:id="1846704174">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8006</Characters>
  <Application>Microsoft Office Word</Application>
  <DocSecurity>0</DocSecurity>
  <Lines>66</Lines>
  <Paragraphs>18</Paragraphs>
  <ScaleCrop>false</ScaleCrop>
  <Company>SACC</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2022-11-28T16:38:00Z</dcterms:created>
  <dcterms:modified xsi:type="dcterms:W3CDTF">2022-11-28T16:39:00Z</dcterms:modified>
</cp:coreProperties>
</file>