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1131" w:rsidRPr="00161131" w:rsidRDefault="00161131" w:rsidP="00161131">
      <w:pPr>
        <w:bidi/>
        <w:spacing w:after="225" w:line="750" w:lineRule="atLeast"/>
        <w:textAlignment w:val="baseline"/>
        <w:outlineLvl w:val="0"/>
        <w:rPr>
          <w:rFonts w:ascii="Arial" w:eastAsia="Times New Roman" w:hAnsi="Arial" w:cs="Arial"/>
          <w:b/>
          <w:bCs/>
          <w:color w:val="000000"/>
          <w:kern w:val="36"/>
          <w:sz w:val="54"/>
          <w:szCs w:val="54"/>
        </w:rPr>
      </w:pPr>
      <w:r w:rsidRPr="00161131">
        <w:rPr>
          <w:rFonts w:ascii="Arial" w:eastAsia="Times New Roman" w:hAnsi="Arial" w:cs="Arial"/>
          <w:b/>
          <w:bCs/>
          <w:color w:val="000000"/>
          <w:kern w:val="36"/>
          <w:sz w:val="54"/>
          <w:szCs w:val="54"/>
          <w:rtl/>
        </w:rPr>
        <w:t>دراسة قانونية لقرارات المحقق العدلي في ملفّ انفجار مرفأ بيروت</w:t>
      </w:r>
    </w:p>
    <w:p w:rsidR="00161131" w:rsidRPr="00161131" w:rsidRDefault="00161131" w:rsidP="00161131">
      <w:pPr>
        <w:bidi/>
        <w:spacing w:after="150" w:line="240" w:lineRule="auto"/>
        <w:textAlignment w:val="top"/>
        <w:rPr>
          <w:rFonts w:ascii="Arial" w:eastAsia="Times New Roman" w:hAnsi="Arial" w:cs="Arial"/>
          <w:color w:val="000000"/>
          <w:sz w:val="21"/>
          <w:szCs w:val="21"/>
          <w:rtl/>
        </w:rPr>
      </w:pPr>
      <w:r w:rsidRPr="00161131">
        <w:rPr>
          <w:rFonts w:ascii="Arial" w:eastAsia="Times New Roman" w:hAnsi="Arial" w:cs="Arial"/>
          <w:color w:val="6C6C6C"/>
          <w:sz w:val="20"/>
          <w:szCs w:val="20"/>
          <w:bdr w:val="none" w:sz="0" w:space="0" w:color="auto" w:frame="1"/>
          <w:rtl/>
        </w:rPr>
        <w:t>14-10-2021 | 00:00 </w:t>
      </w:r>
      <w:r w:rsidRPr="00161131">
        <w:rPr>
          <w:rFonts w:ascii="Arial" w:eastAsia="Times New Roman" w:hAnsi="Arial" w:cs="Arial"/>
          <w:b/>
          <w:bCs/>
          <w:color w:val="000000"/>
          <w:sz w:val="20"/>
          <w:szCs w:val="20"/>
          <w:bdr w:val="none" w:sz="0" w:space="0" w:color="auto" w:frame="1"/>
          <w:rtl/>
        </w:rPr>
        <w:t>المصدر</w:t>
      </w:r>
      <w:r w:rsidRPr="00161131">
        <w:rPr>
          <w:rFonts w:ascii="Arial" w:eastAsia="Times New Roman" w:hAnsi="Arial" w:cs="Arial"/>
          <w:color w:val="000000"/>
          <w:sz w:val="20"/>
          <w:szCs w:val="20"/>
          <w:bdr w:val="none" w:sz="0" w:space="0" w:color="auto" w:frame="1"/>
          <w:rtl/>
        </w:rPr>
        <w:t>: "النهار"</w:t>
      </w:r>
    </w:p>
    <w:p w:rsidR="00161131" w:rsidRPr="00161131" w:rsidRDefault="00161131" w:rsidP="00161131">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161131">
        <w:rPr>
          <w:rFonts w:ascii="Arial" w:eastAsia="Times New Roman" w:hAnsi="Arial" w:cs="Arial"/>
          <w:b/>
          <w:bCs/>
          <w:color w:val="000000"/>
          <w:sz w:val="24"/>
          <w:szCs w:val="24"/>
          <w:bdr w:val="none" w:sz="0" w:space="0" w:color="auto" w:frame="1"/>
          <w:rtl/>
        </w:rPr>
        <w:t>شارك على</w:t>
      </w:r>
    </w:p>
    <w:p w:rsidR="00161131" w:rsidRPr="00161131" w:rsidRDefault="00161131" w:rsidP="00161131">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161131">
          <w:rPr>
            <w:rFonts w:ascii="Arial" w:eastAsia="Times New Roman" w:hAnsi="Arial" w:cs="Arial"/>
            <w:color w:val="0000FF"/>
            <w:sz w:val="2"/>
            <w:szCs w:val="2"/>
            <w:bdr w:val="none" w:sz="0" w:space="0" w:color="auto" w:frame="1"/>
            <w:shd w:val="clear" w:color="auto" w:fill="F2F2F2"/>
          </w:rPr>
          <w:t>fb</w:t>
        </w:r>
      </w:hyperlink>
    </w:p>
    <w:p w:rsidR="00161131" w:rsidRPr="00161131" w:rsidRDefault="00161131" w:rsidP="00161131">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161131">
          <w:rPr>
            <w:rFonts w:ascii="Arial" w:eastAsia="Times New Roman" w:hAnsi="Arial" w:cs="Arial"/>
            <w:color w:val="0000FF"/>
            <w:sz w:val="2"/>
            <w:szCs w:val="2"/>
            <w:bdr w:val="none" w:sz="0" w:space="0" w:color="auto" w:frame="1"/>
            <w:shd w:val="clear" w:color="auto" w:fill="F2F2F2"/>
          </w:rPr>
          <w:t>tw</w:t>
        </w:r>
        <w:proofErr w:type="spellEnd"/>
      </w:hyperlink>
    </w:p>
    <w:p w:rsidR="00161131" w:rsidRPr="00161131" w:rsidRDefault="00161131" w:rsidP="00161131">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161131">
          <w:rPr>
            <w:rFonts w:ascii="Arial" w:eastAsia="Times New Roman" w:hAnsi="Arial" w:cs="Arial"/>
            <w:color w:val="0000FF"/>
            <w:sz w:val="2"/>
            <w:szCs w:val="2"/>
            <w:bdr w:val="none" w:sz="0" w:space="0" w:color="auto" w:frame="1"/>
            <w:shd w:val="clear" w:color="auto" w:fill="F2F2F2"/>
          </w:rPr>
          <w:t>whatsapp</w:t>
        </w:r>
        <w:proofErr w:type="spellEnd"/>
      </w:hyperlink>
    </w:p>
    <w:p w:rsidR="00161131" w:rsidRPr="00161131" w:rsidRDefault="00161131" w:rsidP="00161131">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161131">
          <w:rPr>
            <w:rFonts w:ascii="Arial" w:eastAsia="Times New Roman" w:hAnsi="Arial" w:cs="Arial"/>
            <w:color w:val="0000FF"/>
            <w:sz w:val="2"/>
            <w:szCs w:val="2"/>
            <w:bdr w:val="none" w:sz="0" w:space="0" w:color="auto" w:frame="1"/>
            <w:shd w:val="clear" w:color="auto" w:fill="F2F2F2"/>
          </w:rPr>
          <w:t>telegram</w:t>
        </w:r>
      </w:hyperlink>
    </w:p>
    <w:p w:rsidR="00161131" w:rsidRPr="00161131" w:rsidRDefault="00161131" w:rsidP="00161131">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161131">
          <w:rPr>
            <w:rFonts w:ascii="Arial" w:eastAsia="Times New Roman" w:hAnsi="Arial" w:cs="Arial"/>
            <w:color w:val="0000FF"/>
            <w:sz w:val="2"/>
            <w:szCs w:val="2"/>
            <w:bdr w:val="none" w:sz="0" w:space="0" w:color="auto" w:frame="1"/>
            <w:shd w:val="clear" w:color="auto" w:fill="F2F2F2"/>
          </w:rPr>
          <w:t>messenger</w:t>
        </w:r>
      </w:hyperlink>
    </w:p>
    <w:p w:rsidR="00161131" w:rsidRPr="00161131" w:rsidRDefault="00161131" w:rsidP="00161131">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161131">
          <w:rPr>
            <w:rFonts w:ascii="Arial" w:eastAsia="Times New Roman" w:hAnsi="Arial" w:cs="Arial"/>
            <w:color w:val="0000FF"/>
            <w:sz w:val="2"/>
            <w:szCs w:val="2"/>
            <w:bdr w:val="none" w:sz="0" w:space="0" w:color="auto" w:frame="1"/>
            <w:shd w:val="clear" w:color="auto" w:fill="F2F2F2"/>
          </w:rPr>
          <w:t>linkedIn</w:t>
        </w:r>
        <w:proofErr w:type="spellEnd"/>
      </w:hyperlink>
    </w:p>
    <w:p w:rsidR="00161131" w:rsidRPr="00161131" w:rsidRDefault="00161131" w:rsidP="00161131">
      <w:pPr>
        <w:bidi/>
        <w:spacing w:after="0" w:line="240" w:lineRule="auto"/>
        <w:textAlignment w:val="top"/>
        <w:rPr>
          <w:rFonts w:ascii="Arial" w:eastAsia="Times New Roman" w:hAnsi="Arial" w:cs="Arial"/>
          <w:color w:val="000000"/>
          <w:sz w:val="21"/>
          <w:szCs w:val="21"/>
          <w:rtl/>
        </w:rPr>
      </w:pPr>
      <w:r w:rsidRPr="00161131">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7B13E1"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" o:button="t" filled="f" stroked="f">
                <v:fill o:detectmouseclick="t"/>
                <o:lock v:ext="edit" aspectratio="t"/>
                <w10:anchorlock/>
              </v:rect>
            </w:pict>
          </mc:Fallback>
        </mc:AlternateContent>
      </w:r>
    </w:p>
    <w:p w:rsidR="00161131" w:rsidRPr="00161131" w:rsidRDefault="00161131" w:rsidP="00161131">
      <w:pPr>
        <w:bidi/>
        <w:spacing w:after="0" w:line="240" w:lineRule="auto"/>
        <w:textAlignment w:val="top"/>
        <w:rPr>
          <w:rFonts w:ascii="Arial" w:eastAsia="Times New Roman" w:hAnsi="Arial" w:cs="Arial"/>
          <w:color w:val="000000"/>
          <w:sz w:val="21"/>
          <w:szCs w:val="21"/>
          <w:rtl/>
        </w:rPr>
      </w:pPr>
      <w:r w:rsidRPr="00161131">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746C1"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" o:button="t" filled="f" stroked="f">
                <v:fill o:detectmouseclick="t"/>
                <o:lock v:ext="edit" aspectratio="t"/>
                <w10:anchorlock/>
              </v:rect>
            </w:pict>
          </mc:Fallback>
        </mc:AlternateContent>
      </w:r>
    </w:p>
    <w:p w:rsidR="00161131" w:rsidRPr="00161131" w:rsidRDefault="00161131" w:rsidP="00161131">
      <w:pPr>
        <w:bidi/>
        <w:spacing w:after="0" w:line="240" w:lineRule="auto"/>
        <w:textAlignment w:val="top"/>
        <w:rPr>
          <w:rFonts w:ascii="Arial" w:eastAsia="Times New Roman" w:hAnsi="Arial" w:cs="Arial"/>
          <w:color w:val="000000"/>
          <w:sz w:val="21"/>
          <w:szCs w:val="21"/>
          <w:rtl/>
        </w:rPr>
      </w:pPr>
      <w:r w:rsidRPr="00161131">
        <w:rPr>
          <w:rFonts w:ascii="Arial" w:eastAsia="Times New Roman" w:hAnsi="Arial" w:cs="Arial"/>
          <w:noProof/>
          <w:color w:val="000000"/>
          <w:sz w:val="21"/>
          <w:szCs w:val="21"/>
        </w:rPr>
        <w:drawing>
          <wp:inline distT="0" distB="0" distL="0" distR="0">
            <wp:extent cx="5486400" cy="3147695"/>
            <wp:effectExtent l="0" t="0" r="0" b="0"/>
            <wp:docPr id="1" name="Picture 1" descr="تساءل بعض السياسيون عمّا إن كان المحقق العدلي المذكور ينفّذ سياسات انتقامية بدل فرض العدالة (النه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تساءل بعض السياسيون عمّا إن كان المحقق العدلي المذكور ينفّذ سياسات انتقامية بدل فرض العدالة (النها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147695"/>
                    </a:xfrm>
                    <a:prstGeom prst="rect">
                      <a:avLst/>
                    </a:prstGeom>
                    <a:noFill/>
                    <a:ln>
                      <a:noFill/>
                    </a:ln>
                  </pic:spPr>
                </pic:pic>
              </a:graphicData>
            </a:graphic>
          </wp:inline>
        </w:drawing>
      </w:r>
    </w:p>
    <w:p w:rsidR="00161131" w:rsidRPr="00161131" w:rsidRDefault="00161131" w:rsidP="00161131">
      <w:pPr>
        <w:bidi/>
        <w:spacing w:after="0" w:line="240" w:lineRule="auto"/>
        <w:textAlignment w:val="baseline"/>
        <w:outlineLvl w:val="4"/>
        <w:rPr>
          <w:rFonts w:ascii="Arial" w:eastAsia="Times New Roman" w:hAnsi="Arial" w:cs="Arial"/>
          <w:b/>
          <w:bCs/>
          <w:color w:val="FFFFFF"/>
          <w:sz w:val="20"/>
          <w:szCs w:val="20"/>
          <w:rtl/>
        </w:rPr>
      </w:pPr>
      <w:r w:rsidRPr="00161131">
        <w:rPr>
          <w:rFonts w:ascii="Arial" w:eastAsia="Times New Roman" w:hAnsi="Arial" w:cs="Arial"/>
          <w:b/>
          <w:bCs/>
          <w:color w:val="FFFFFF"/>
          <w:sz w:val="20"/>
          <w:szCs w:val="20"/>
          <w:rtl/>
        </w:rPr>
        <w:t>تساءل بعض السياسيون عمّا إن كان المحقق العدلي المذكور ينفّذ سياسات انتقامية بدل فرض العدالة (النهار).</w:t>
      </w:r>
    </w:p>
    <w:p w:rsidR="00161131" w:rsidRPr="00161131" w:rsidRDefault="00161131" w:rsidP="00161131">
      <w:pPr>
        <w:bidi/>
        <w:spacing w:after="0" w:line="240" w:lineRule="auto"/>
        <w:textAlignment w:val="top"/>
        <w:rPr>
          <w:rFonts w:ascii="Arial" w:eastAsia="Times New Roman" w:hAnsi="Arial" w:cs="Arial"/>
          <w:color w:val="000000"/>
          <w:sz w:val="21"/>
          <w:szCs w:val="21"/>
          <w:rtl/>
        </w:rPr>
      </w:pPr>
      <w:hyperlink r:id="rId12" w:tooltip="Bigger Font" w:history="1">
        <w:r w:rsidRPr="00161131">
          <w:rPr>
            <w:rFonts w:ascii="Arial" w:eastAsia="Times New Roman" w:hAnsi="Arial" w:cs="Arial"/>
            <w:b/>
            <w:bCs/>
            <w:color w:val="000000"/>
            <w:sz w:val="23"/>
            <w:szCs w:val="23"/>
            <w:bdr w:val="none" w:sz="0" w:space="0" w:color="auto" w:frame="1"/>
          </w:rPr>
          <w:t>A</w:t>
        </w:r>
        <w:r w:rsidRPr="00161131">
          <w:rPr>
            <w:rFonts w:ascii="Arial" w:eastAsia="Times New Roman" w:hAnsi="Arial" w:cs="Arial"/>
            <w:b/>
            <w:bCs/>
            <w:color w:val="000000"/>
            <w:sz w:val="23"/>
            <w:szCs w:val="23"/>
            <w:bdr w:val="none" w:sz="0" w:space="0" w:color="auto" w:frame="1"/>
            <w:rtl/>
          </w:rPr>
          <w:t>+</w:t>
        </w:r>
      </w:hyperlink>
      <w:hyperlink r:id="rId13" w:tooltip="Smaller Font" w:history="1">
        <w:r w:rsidRPr="00161131">
          <w:rPr>
            <w:rFonts w:ascii="Arial" w:eastAsia="Times New Roman" w:hAnsi="Arial" w:cs="Arial"/>
            <w:b/>
            <w:bCs/>
            <w:color w:val="000000"/>
            <w:sz w:val="23"/>
            <w:szCs w:val="23"/>
            <w:bdr w:val="none" w:sz="0" w:space="0" w:color="auto" w:frame="1"/>
          </w:rPr>
          <w:t>A</w:t>
        </w:r>
        <w:r w:rsidRPr="00161131">
          <w:rPr>
            <w:rFonts w:ascii="Arial" w:eastAsia="Times New Roman" w:hAnsi="Arial" w:cs="Arial"/>
            <w:b/>
            <w:bCs/>
            <w:color w:val="000000"/>
            <w:sz w:val="23"/>
            <w:szCs w:val="23"/>
            <w:bdr w:val="none" w:sz="0" w:space="0" w:color="auto" w:frame="1"/>
            <w:rtl/>
          </w:rPr>
          <w:t>-</w:t>
        </w:r>
      </w:hyperlink>
    </w:p>
    <w:p w:rsidR="00161131" w:rsidRPr="00161131" w:rsidRDefault="00161131" w:rsidP="00161131">
      <w:pPr>
        <w:bidi/>
        <w:spacing w:after="0" w:line="240" w:lineRule="auto"/>
        <w:textAlignment w:val="top"/>
        <w:rPr>
          <w:rFonts w:ascii="Arial" w:eastAsia="Times New Roman" w:hAnsi="Arial" w:cs="Arial"/>
          <w:color w:val="000000"/>
          <w:sz w:val="23"/>
          <w:szCs w:val="23"/>
          <w:rtl/>
        </w:rPr>
      </w:pPr>
      <w:r w:rsidRPr="00161131">
        <w:rPr>
          <w:rFonts w:ascii="Arial" w:eastAsia="Times New Roman" w:hAnsi="Arial" w:cs="Arial"/>
          <w:b/>
          <w:bCs/>
          <w:color w:val="000000"/>
          <w:sz w:val="23"/>
          <w:szCs w:val="23"/>
          <w:bdr w:val="none" w:sz="0" w:space="0" w:color="auto" w:frame="1"/>
          <w:rtl/>
        </w:rPr>
        <w:t>المحامي صائب مطرجي</w:t>
      </w:r>
    </w:p>
    <w:p w:rsidR="00161131" w:rsidRPr="00161131" w:rsidRDefault="00161131" w:rsidP="00161131">
      <w:pPr>
        <w:bidi/>
        <w:spacing w:after="0" w:line="240" w:lineRule="auto"/>
        <w:textAlignment w:val="top"/>
        <w:rPr>
          <w:rFonts w:ascii="Arial" w:eastAsia="Times New Roman" w:hAnsi="Arial" w:cs="Arial"/>
          <w:color w:val="000000"/>
          <w:sz w:val="23"/>
          <w:szCs w:val="23"/>
          <w:rtl/>
        </w:rPr>
      </w:pPr>
      <w:r w:rsidRPr="00161131">
        <w:rPr>
          <w:rFonts w:ascii="Arial" w:eastAsia="Times New Roman" w:hAnsi="Arial" w:cs="Arial"/>
          <w:b/>
          <w:bCs/>
          <w:color w:val="000000"/>
          <w:sz w:val="23"/>
          <w:szCs w:val="23"/>
          <w:bdr w:val="none" w:sz="0" w:space="0" w:color="auto" w:frame="1"/>
          <w:rtl/>
        </w:rPr>
        <w:t> </w:t>
      </w:r>
    </w:p>
    <w:p w:rsidR="00161131" w:rsidRPr="00161131" w:rsidRDefault="00161131" w:rsidP="00161131">
      <w:pPr>
        <w:bidi/>
        <w:spacing w:line="240" w:lineRule="auto"/>
        <w:textAlignment w:val="top"/>
        <w:rPr>
          <w:rFonts w:ascii="Arial" w:eastAsia="Times New Roman" w:hAnsi="Arial" w:cs="Arial"/>
          <w:color w:val="000000"/>
          <w:sz w:val="23"/>
          <w:szCs w:val="23"/>
          <w:rtl/>
        </w:rPr>
      </w:pPr>
      <w:r w:rsidRPr="00161131">
        <w:rPr>
          <w:rFonts w:ascii="Arial" w:eastAsia="Times New Roman" w:hAnsi="Arial" w:cs="Arial"/>
          <w:color w:val="000000"/>
          <w:sz w:val="23"/>
          <w:szCs w:val="23"/>
          <w:rtl/>
        </w:rPr>
        <w:t>1- تسلّم المحقق العدلي </w:t>
      </w:r>
      <w:hyperlink r:id="rId14" w:history="1">
        <w:r w:rsidRPr="00161131">
          <w:rPr>
            <w:rFonts w:ascii="Arial" w:eastAsia="Times New Roman" w:hAnsi="Arial" w:cs="Arial"/>
            <w:color w:val="0000FF"/>
            <w:sz w:val="23"/>
            <w:szCs w:val="23"/>
            <w:bdr w:val="none" w:sz="0" w:space="0" w:color="auto" w:frame="1"/>
            <w:rtl/>
          </w:rPr>
          <w:t>#طارق بيطار</w:t>
        </w:r>
      </w:hyperlink>
      <w:r w:rsidRPr="00161131">
        <w:rPr>
          <w:rFonts w:ascii="Arial" w:eastAsia="Times New Roman" w:hAnsi="Arial" w:cs="Arial"/>
          <w:color w:val="000000"/>
          <w:sz w:val="23"/>
          <w:szCs w:val="23"/>
          <w:rtl/>
        </w:rPr>
        <w:t> ملفّ تفجير </w:t>
      </w:r>
      <w:hyperlink r:id="rId15" w:history="1">
        <w:r w:rsidRPr="00161131">
          <w:rPr>
            <w:rFonts w:ascii="Arial" w:eastAsia="Times New Roman" w:hAnsi="Arial" w:cs="Arial"/>
            <w:color w:val="0000FF"/>
            <w:sz w:val="23"/>
            <w:szCs w:val="23"/>
            <w:bdr w:val="none" w:sz="0" w:space="0" w:color="auto" w:frame="1"/>
            <w:rtl/>
          </w:rPr>
          <w:t>#مرفأ بيروت</w:t>
        </w:r>
      </w:hyperlink>
      <w:r w:rsidRPr="00161131">
        <w:rPr>
          <w:rFonts w:ascii="Arial" w:eastAsia="Times New Roman" w:hAnsi="Arial" w:cs="Arial"/>
          <w:color w:val="000000"/>
          <w:sz w:val="23"/>
          <w:szCs w:val="23"/>
          <w:rtl/>
        </w:rPr>
        <w:t> من سلفه المحقق العدلي فادي صوان – الذي صدر قرار بردّه عن محكمة التمييز الجزائية.</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t>2- اتّخذ المحقق العدلي بيطار عدّة قرارات أحدثت اعتراضات ولغطاً كبيراً لدى رجال القانون في لبنان، وأهمّها ادّعاؤه بحق رئيس مجلس الوزراء المستقيل حسّان دياب وأربعة وزراء سابقين...</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t>3- بعض السياسيين تساءلوا عمّا إن كان المحقق العدلي المذكور ينفّذ سياسات انتقامية بدل فرض العدالة، مشكّكين بحياديته ولا سيما عدم ادّعائه على قائدَي الجيش والمخابرات وغيرهما من المسؤولين الأمنيين...</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lastRenderedPageBreak/>
        <w:br/>
        <w:t>4- في هذه الدراسة سوف نفنّد ادّعاءات وتحقيقات المحقق العدلي وأين أصاب وأين أخطأ، وفقاً للدستور والقوانين المرعيّة الإجراء، ولماذا لم يلاحق رئيس الجمهورية، وكيف وأين تتمّ ملاحقته؟ وهل يمكنه الادّعاء على رئيس الحكومة؟</w:t>
      </w:r>
      <w:r w:rsidRPr="00161131">
        <w:rPr>
          <w:rFonts w:ascii="Arial" w:eastAsia="Times New Roman" w:hAnsi="Arial" w:cs="Arial"/>
          <w:color w:val="000000"/>
          <w:sz w:val="23"/>
          <w:szCs w:val="23"/>
          <w:rtl/>
        </w:rPr>
        <w:br/>
        <w:t>أولاً: في ملاحقة رئيس الجمهورية:</w:t>
      </w:r>
      <w:r w:rsidRPr="00161131">
        <w:rPr>
          <w:rFonts w:ascii="Arial" w:eastAsia="Times New Roman" w:hAnsi="Arial" w:cs="Arial"/>
          <w:color w:val="000000"/>
          <w:sz w:val="23"/>
          <w:szCs w:val="23"/>
          <w:rtl/>
        </w:rPr>
        <w:br/>
        <w:t>تنصّ المادة /60/ من الدستور اللبناني على ما يلي:</w:t>
      </w:r>
      <w:r w:rsidRPr="00161131">
        <w:rPr>
          <w:rFonts w:ascii="Arial" w:eastAsia="Times New Roman" w:hAnsi="Arial" w:cs="Arial"/>
          <w:color w:val="000000"/>
          <w:sz w:val="23"/>
          <w:szCs w:val="23"/>
          <w:rtl/>
        </w:rPr>
        <w:br/>
        <w:t>"لا تبعة على رئیس الجمهوریة حال قیامه بوظیفته إلّا عند خرقه الدستور أو في حال الخیانة العظمى. أمّا التبعة فی ما یختصّ بالجرائم العادیة فهي خاضعة للقوانین العامّة، ولا یمكن اتّهامه بسبب هذه الجرائم أو لعلّتي خرق الدستور والخیانة العظمى إلّا من قبل مجلس النوّاب بموجب قرار یصدره بغالبیة ثلثي مجموع أعضائه ویحاكم أمام المجلس الأعلى المنصوص علیه في المادة الثمانین".</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t>إذن لا سلطة للقضاء العدلي لاتّهام رئيس الجمهورية ولا لملاحقته ولا محاكمته بل تعود سلطة الاتّهام والملاحقة إلى مجلس النوّاب والمحاكمة إلى المجلس الأعلى لمحاكمة الرؤساء والوزراء.</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t>وإذا ما أراد البعض ملاحقة رئيس الجمهورية فإنّ ذلك يمكن أن يتمّ عند الادّعاء بخرق الدستور أو الخيانة العظمى أو حتى الجرائم العادية.</w:t>
      </w:r>
      <w:r w:rsidRPr="00161131">
        <w:rPr>
          <w:rFonts w:ascii="Arial" w:eastAsia="Times New Roman" w:hAnsi="Arial" w:cs="Arial"/>
          <w:color w:val="000000"/>
          <w:sz w:val="23"/>
          <w:szCs w:val="23"/>
          <w:rtl/>
        </w:rPr>
        <w:br/>
        <w:t>ويكون الادّعاء في هذه الحالة من قبل نوّاب يمثّلون خُمس أعضاء المجلس النيابي على الأقلّ (5/1) (القانون رقم 13/90).</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t>ثانياً: في ملاحقة رئيس مجلس الوزراء والوزراء:</w:t>
      </w:r>
      <w:r w:rsidRPr="00161131">
        <w:rPr>
          <w:rFonts w:ascii="Arial" w:eastAsia="Times New Roman" w:hAnsi="Arial" w:cs="Arial"/>
          <w:color w:val="000000"/>
          <w:sz w:val="23"/>
          <w:szCs w:val="23"/>
          <w:rtl/>
        </w:rPr>
        <w:br/>
        <w:t>ادّعى المحقق العدلي على رئيس مجلس الوزراء المستقيل حسّان دياب، كما ادّعى على أربعة وزراء سابقين بجناية القتل بالإهمال القصدي وجرائم الإهمال...</w:t>
      </w:r>
      <w:r w:rsidRPr="00161131">
        <w:rPr>
          <w:rFonts w:ascii="Arial" w:eastAsia="Times New Roman" w:hAnsi="Arial" w:cs="Arial"/>
          <w:color w:val="000000"/>
          <w:sz w:val="23"/>
          <w:szCs w:val="23"/>
          <w:rtl/>
        </w:rPr>
        <w:br/>
        <w:t>فهل أصاب في هذا الادّعاء أم خالف الدستور والقوانين؟</w:t>
      </w:r>
      <w:r w:rsidRPr="00161131">
        <w:rPr>
          <w:rFonts w:ascii="Arial" w:eastAsia="Times New Roman" w:hAnsi="Arial" w:cs="Arial"/>
          <w:color w:val="000000"/>
          <w:sz w:val="23"/>
          <w:szCs w:val="23"/>
          <w:rtl/>
        </w:rPr>
        <w:br/>
        <w:t>تنصّ المادة /70/ من الدستور على ما يلي:</w:t>
      </w:r>
      <w:r w:rsidRPr="00161131">
        <w:rPr>
          <w:rFonts w:ascii="Arial" w:eastAsia="Times New Roman" w:hAnsi="Arial" w:cs="Arial"/>
          <w:color w:val="000000"/>
          <w:sz w:val="23"/>
          <w:szCs w:val="23"/>
          <w:rtl/>
        </w:rPr>
        <w:br/>
        <w:t>"لمجلس النوّاب أن یتّهم رئیس مجلس الوزراء والوزراء بارتكابهم الخیانة العظمى أو بإخلالهم بالواجبات المترتبة علیهم...".</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t>وتنصّ المادة /71/ من الدستور على ما يلي:</w:t>
      </w:r>
      <w:r w:rsidRPr="00161131">
        <w:rPr>
          <w:rFonts w:ascii="Arial" w:eastAsia="Times New Roman" w:hAnsi="Arial" w:cs="Arial"/>
          <w:color w:val="000000"/>
          <w:sz w:val="23"/>
          <w:szCs w:val="23"/>
          <w:rtl/>
        </w:rPr>
        <w:br/>
        <w:t>"یُحاكَم رئیس مجلس الوزراء والوزراء المتّهمون أمام المجلس الأعلى لمحاكمة الرؤساء والوزراء".</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t>وتنصّ المادّة /18/ من أصول المحاكمات أمام المجلس الأعلى لمحاكمة الرؤساء والوزراء:</w:t>
      </w:r>
      <w:r w:rsidRPr="00161131">
        <w:rPr>
          <w:rFonts w:ascii="Arial" w:eastAsia="Times New Roman" w:hAnsi="Arial" w:cs="Arial"/>
          <w:color w:val="000000"/>
          <w:sz w:val="23"/>
          <w:szCs w:val="23"/>
          <w:rtl/>
        </w:rPr>
        <w:br/>
        <w:t>"باستثناء خرق الدستور والخيانة العظمى والإخلال بالواجبات الوظيفية يكون المجلس الأعلى مقيّداً بالقانون مع وصف الجنايات والجنح وفي العقوبات...".</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t>فُسّر أغلب الاجتهاد والفقه عن حق نصّ المادة /70/ على أنّه يعود لمجلس النواب حصراً اتّهام وملاحقة رئيس مجلس الوزراء والوزراء المرتكبين لجرائم الخيانة العظمى أو الإخلال الوظيفي أو الجرائم العادية إن كانت مرتبطة بوظائفهم الحكومية، وفسّروا حرف الجرّ "ل" في كلمة "لمجلس" أنّه تعود لمجلس النواب سلطة تقديرية في الملاحقة أو لا، ولا تعني إطلاقاً أنّه يمكن ملاحقتهم من قبل المجلس النيابي أو القضاء العدلي أو أيّ مرجع آخر.</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t>وقد أيّدوا تفسيرهم هذا بنصّ المادّة /18/ من أصول المحاكمات المذكورة آنفاً، التي تؤكّد اختصاص المجلس الأعلى لمحاكمة رئيس مجلس الوزراء والوزراء حتى عندما يقترفون جرائم جزائية عادية ولكن مرتبطة بعملهم الحكومي.</w:t>
      </w:r>
      <w:r w:rsidRPr="00161131">
        <w:rPr>
          <w:rFonts w:ascii="Arial" w:eastAsia="Times New Roman" w:hAnsi="Arial" w:cs="Arial"/>
          <w:color w:val="000000"/>
          <w:sz w:val="23"/>
          <w:szCs w:val="23"/>
          <w:rtl/>
        </w:rPr>
        <w:br/>
        <w:t>وبحسب تفسيرهم فإنّه يمكن للقضاء العدلي ملاحقة رئيس مجلس الوزراء والوزراء في حالة واحدة فقط وهي إقدام هؤلاء على اقتراف جرم جزائي عادي كأشخاص عاديين يقع تحت طائلة قانون العقوبات أو أيّ قانون خاصّ، إذا اقترفوه بعيداً عن وظائفهم الحكومية، من دون أن يكون لهذه الوظيفة أيّ علاقة بالجرم.</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t>وسنعرض أبرز اجتهادات المحاكم اللبنانية وآراء كبار فقهاء الدستور الذين تبنّوا هذه الوجهة من تفسير الموادّ المذكورة:</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t>- القرارات القضائية التي صدرت في قضيّة الوزير السابق شاهي برصوميان التي أكّدت أن لا اختصاص للقضاء العدلي للنظر في الدعوى باعتبار أنّ ما نُسب للوزير جرائم تتعلق بوظيفته كوزير.</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lastRenderedPageBreak/>
        <w:br/>
        <w:t>- قرار الهيئة الاتّهامية في بيروت تاريخ 18/12/1989 الذي قضى بعدم اختصاص القضاء العدلي لملاحقة الوزير السابق جوزف الهاشم لأنّ الأعمال المنسوبة إليه تتعلق بوظيفته الوزارية.</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t>- قرارا الهيئة العامّة لمحكمة التمييز بخصوص ملاحقة الوزير السابق فؤاد السنيورة، حيث أكّدا أن لا صلاحية للقضاء العدلي بملاحقة الوزير المذكور لأنّ ما أسند إليه يتعلق بوظيفته كوزير.</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t>ثانياً: الدكتور إدمون ربّاط:</w:t>
      </w:r>
      <w:r w:rsidRPr="00161131">
        <w:rPr>
          <w:rFonts w:ascii="Arial" w:eastAsia="Times New Roman" w:hAnsi="Arial" w:cs="Arial"/>
          <w:color w:val="000000"/>
          <w:sz w:val="23"/>
          <w:szCs w:val="23"/>
          <w:rtl/>
        </w:rPr>
        <w:br/>
        <w:t>يؤكّد في كتابه "الوسيط في القانون الدستوري" أنّه إن كان الوزراء يتحمّلون المسؤولية السياسية التضامنية والفردية أمام مجلس النواب فإنّ هذه المسؤولية لا تنفي عنهم المسؤولية العادية المدنية أو الجزائية وهم في هذه الجهة خاضعون لصلاحية المحاكم العدلية.</w:t>
      </w:r>
      <w:r w:rsidRPr="00161131">
        <w:rPr>
          <w:rFonts w:ascii="Arial" w:eastAsia="Times New Roman" w:hAnsi="Arial" w:cs="Arial"/>
          <w:color w:val="000000"/>
          <w:sz w:val="23"/>
          <w:szCs w:val="23"/>
          <w:rtl/>
        </w:rPr>
        <w:br/>
        <w:t>إلّا أنّ الدستور قد خصّهم حيال وظائفهم الوزارية بمسؤوليتين استثنائيتين حدّدتهما المادّة /70/ وهما اقترافهم للخيانة العظمى وإخلالهم بالواجبات المترتبة عليهم.</w:t>
      </w:r>
      <w:r w:rsidRPr="00161131">
        <w:rPr>
          <w:rFonts w:ascii="Arial" w:eastAsia="Times New Roman" w:hAnsi="Arial" w:cs="Arial"/>
          <w:color w:val="000000"/>
          <w:sz w:val="23"/>
          <w:szCs w:val="23"/>
          <w:rtl/>
        </w:rPr>
        <w:br/>
        <w:t>ومن البديهي القول إنّ هاتين الجريمتين لا تحدثان إلّا في حال القيام بوظائفهم الوزارية أو بمناسبتها.</w:t>
      </w:r>
      <w:r w:rsidRPr="00161131">
        <w:rPr>
          <w:rFonts w:ascii="Arial" w:eastAsia="Times New Roman" w:hAnsi="Arial" w:cs="Arial"/>
          <w:color w:val="000000"/>
          <w:sz w:val="23"/>
          <w:szCs w:val="23"/>
          <w:rtl/>
        </w:rPr>
        <w:br/>
        <w:t>("الوسيط في القانون الدستوري اللبناني" إدمون ربّاط، دار العلم للملايين)</w:t>
      </w:r>
      <w:r w:rsidRPr="00161131">
        <w:rPr>
          <w:rFonts w:ascii="Arial" w:eastAsia="Times New Roman" w:hAnsi="Arial" w:cs="Arial"/>
          <w:color w:val="000000"/>
          <w:sz w:val="23"/>
          <w:szCs w:val="23"/>
          <w:rtl/>
        </w:rPr>
        <w:br/>
        <w:t>- وبناءً على ذلك فإنّ ادّعاء المحقق العدلي بيطار بحق رئيس الحكومة المستقيل وأربعة وزراء سابقين جاء مخالفاً للدستور وقانون أصول المحاكمة أمام المجلس الأعلى لمحاكمة الرؤساء والوزراء، لأنّ الاتّهام الملقى على عاتقهم يتعلق بمهامّهم الحكومية وإهمالهم الوظيفي بعدم اتّخاذ إجراءات للحيلولة دون حصول انفجار مرفأ بيروت.</w:t>
      </w:r>
      <w:r w:rsidRPr="00161131">
        <w:rPr>
          <w:rFonts w:ascii="Arial" w:eastAsia="Times New Roman" w:hAnsi="Arial" w:cs="Arial"/>
          <w:color w:val="000000"/>
          <w:sz w:val="23"/>
          <w:szCs w:val="23"/>
          <w:rtl/>
        </w:rPr>
        <w:br/>
        <w:t>1- استطراداً أكثر، وللجدل القانوني فقط، فإنّ ورقة الإحضار مخالفة للقواعد المنصوص عليها في المادّة /147/ أ.م.ج. وما يليها حيث خلت من ذكر الجرم المنسوب للمتهم والمادّة القانونية المطبّقة عليه، ما يجعل هذا الإحضار باطلاً سنداً إلى المادّة /149/ من القانون عينه.</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t>2- واستطراداً أكثر وأكثر، فإنّ قرار المحقق العدلي (لو افترضنا أنّه مختصّ بملاحقة رئيس الحكومة) جلب الأخير إلى مكتبه ثمّ إحضاره إليه يكون مخالفاً لنصّ المادّة/85/أ.م.ج. التي تنصّ:</w:t>
      </w:r>
      <w:r w:rsidRPr="00161131">
        <w:rPr>
          <w:rFonts w:ascii="Arial" w:eastAsia="Times New Roman" w:hAnsi="Arial" w:cs="Arial"/>
          <w:color w:val="000000"/>
          <w:sz w:val="23"/>
          <w:szCs w:val="23"/>
          <w:rtl/>
        </w:rPr>
        <w:br/>
        <w:t>"إذا اقتضت الدعوى سماع إفادة رئيس الجمهورية أو رئيس مجلس النواب أو رئيس مجلس الوزراء ينتقل قاضي التحقيق مع كاتبه إلى مقرّ المذكورين ويستمع إلى إفادتهم".</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t>ثالثاً: في الاستنسابية:</w:t>
      </w:r>
      <w:r w:rsidRPr="00161131">
        <w:rPr>
          <w:rFonts w:ascii="Arial" w:eastAsia="Times New Roman" w:hAnsi="Arial" w:cs="Arial"/>
          <w:color w:val="000000"/>
          <w:sz w:val="23"/>
          <w:szCs w:val="23"/>
          <w:rtl/>
        </w:rPr>
        <w:br/>
        <w:t>ادّعى المحقق العدلي بوجه كلّ من قائد الجيش السابق قهوجي ومدير المخابرات السابق كميل ضاهر، مع الإشارة إلى أنّ قائد الجيش الحالي جوزف عون ومدير المخابرات الحالي طوني قهوجي كانا قد تسلّما مهامّهما قبل وقوع انفجار المرفأ.</w:t>
      </w:r>
      <w:r w:rsidRPr="00161131">
        <w:rPr>
          <w:rFonts w:ascii="Arial" w:eastAsia="Times New Roman" w:hAnsi="Arial" w:cs="Arial"/>
          <w:color w:val="000000"/>
          <w:sz w:val="23"/>
          <w:szCs w:val="23"/>
          <w:rtl/>
        </w:rPr>
        <w:br/>
        <w:t>ملاحظة</w:t>
      </w:r>
      <w:r w:rsidRPr="00161131">
        <w:rPr>
          <w:rFonts w:ascii="Arial" w:eastAsia="Times New Roman" w:hAnsi="Arial" w:cs="Arial"/>
          <w:color w:val="000000"/>
          <w:sz w:val="23"/>
          <w:szCs w:val="23"/>
          <w:rtl/>
        </w:rPr>
        <w:br/>
        <w:t>- تقدّم أخيراً الوزير المشنوق بدعوى ردّ المحقق العدلي بيطار للارتياب المشروع... مع الإشارة إلى أنّه فور إبلاغ المحقق العدلي بهذه الدعوى تكفّ يده عن التحقيقات لحين الفصل في دعوى الردّ.</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t>- الاستنسابية في تطبيق القانون:</w:t>
      </w:r>
      <w:r w:rsidRPr="00161131">
        <w:rPr>
          <w:rFonts w:ascii="Arial" w:eastAsia="Times New Roman" w:hAnsi="Arial" w:cs="Arial"/>
          <w:color w:val="000000"/>
          <w:sz w:val="23"/>
          <w:szCs w:val="23"/>
          <w:rtl/>
        </w:rPr>
        <w:br/>
        <w:t>لوحظ أنّ المحقق العدلي بيطار قد طبّق قانون القضاء العدلي لجهة أصول ملاحقة القضاة المرتكبين، إذ أرسل الملفّ المتعلق بالقضاة المشتبه فيهم إلى النائب العامّ التمييزي لملاحقتهم على حدة، حتى إنّه لم يجرِ التشهير إعلامياً بهؤلاء القضاة.</w:t>
      </w:r>
      <w:r w:rsidRPr="00161131">
        <w:rPr>
          <w:rFonts w:ascii="Arial" w:eastAsia="Times New Roman" w:hAnsi="Arial" w:cs="Arial"/>
          <w:color w:val="000000"/>
          <w:sz w:val="23"/>
          <w:szCs w:val="23"/>
          <w:rtl/>
        </w:rPr>
        <w:br/>
        <w:t>وقد خالف القاضي بيطار الدستور وقانون أصول محاكمة الرؤساء والوزراء لجهة إصراره على الادّعاء والملاحقة بوجه رئيس حكومة ووزراء سابقين مع التشهير الإعلامي بهم.</w:t>
      </w:r>
      <w:r w:rsidRPr="00161131">
        <w:rPr>
          <w:rFonts w:ascii="Arial" w:eastAsia="Times New Roman" w:hAnsi="Arial" w:cs="Arial"/>
          <w:color w:val="000000"/>
          <w:sz w:val="23"/>
          <w:szCs w:val="23"/>
          <w:rtl/>
        </w:rPr>
        <w:br/>
        <w:t>رابعاً: في إفشاء سرّية التحقيقات:</w:t>
      </w:r>
      <w:r w:rsidRPr="00161131">
        <w:rPr>
          <w:rFonts w:ascii="Arial" w:eastAsia="Times New Roman" w:hAnsi="Arial" w:cs="Arial"/>
          <w:color w:val="000000"/>
          <w:sz w:val="23"/>
          <w:szCs w:val="23"/>
          <w:rtl/>
        </w:rPr>
        <w:br/>
        <w:t>دأبت وسائل الإعلام المرئيّة ومواقع التواصل الاجتماعي على نشر تفاصيل التحقيقات التي يقوم بها المحقق العدلي بيطار وأسماء المدّعى عليهم والجرائم المنسوبة إليهم، وكلّ ذلك نقلاً عن مصادر "مقرّبة من المحقق العدلي" الذي لم يصدر أيّ نفي لذلك.</w:t>
      </w:r>
      <w:r w:rsidRPr="00161131">
        <w:rPr>
          <w:rFonts w:ascii="Arial" w:eastAsia="Times New Roman" w:hAnsi="Arial" w:cs="Arial"/>
          <w:color w:val="000000"/>
          <w:sz w:val="23"/>
          <w:szCs w:val="23"/>
          <w:rtl/>
        </w:rPr>
        <w:br/>
        <w:t>حتى إنّ أحد المدّعى عليهم قال "عرفت بالادّعاء ضدّي من خلال وسائل الإعلام...".</w:t>
      </w:r>
      <w:r w:rsidRPr="00161131">
        <w:rPr>
          <w:rFonts w:ascii="Arial" w:eastAsia="Times New Roman" w:hAnsi="Arial" w:cs="Arial"/>
          <w:color w:val="000000"/>
          <w:sz w:val="23"/>
          <w:szCs w:val="23"/>
          <w:rtl/>
        </w:rPr>
        <w:br/>
        <w:t>وكلّ ذلك مخالف لنصّ المادة /53/ من أصول المحاكمات الجزائية التي تمنع نشر أيّ شيء يختصّ بالتحقيقات ما عدا القرار الظنّي الذي يصدره قاضي التحقيق بعد اختتام تحقيقاته.</w:t>
      </w:r>
      <w:r w:rsidRPr="00161131">
        <w:rPr>
          <w:rFonts w:ascii="Arial" w:eastAsia="Times New Roman" w:hAnsi="Arial" w:cs="Arial"/>
          <w:color w:val="000000"/>
          <w:sz w:val="23"/>
          <w:szCs w:val="23"/>
          <w:rtl/>
        </w:rPr>
        <w:br/>
        <w:t>تسرّب أخيراً خبر تواصل المحقق العدلي المذكور مع مسؤول كبير في أحد الأحزاب.</w:t>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br/>
      </w:r>
      <w:r w:rsidRPr="00161131">
        <w:rPr>
          <w:rFonts w:ascii="Arial" w:eastAsia="Times New Roman" w:hAnsi="Arial" w:cs="Arial"/>
          <w:color w:val="000000"/>
          <w:sz w:val="23"/>
          <w:szCs w:val="23"/>
          <w:rtl/>
        </w:rPr>
        <w:lastRenderedPageBreak/>
        <w:t>خامساً: مخالفة أصول التحقيق الاستنطاقي:</w:t>
      </w:r>
      <w:r w:rsidRPr="00161131">
        <w:rPr>
          <w:rFonts w:ascii="Arial" w:eastAsia="Times New Roman" w:hAnsi="Arial" w:cs="Arial"/>
          <w:color w:val="000000"/>
          <w:sz w:val="23"/>
          <w:szCs w:val="23"/>
          <w:rtl/>
        </w:rPr>
        <w:br/>
        <w:t>من البديهي في التحقيقات الأولية والاستنطاقية أن يحدّد أولاً ماهية الانفجار (نوع الموادّ المتفجّرة ووزنها) ومسرح الجريمة والأضرار الناتجة عن الانفجار وتحديد سبب الانفجار ومسبّباته ثمّ تحديد المشتبه به أو بهم في الانفجار وبعدها تحديد مسؤوليات الوزراء والضبّاط والموظفين كمهملين لمهامّهم في تفادي حصول هذا الانفجار، على أن يوضح للرأي العامّ (نظراً لهول الانفجار وفداحة الخسائر) على الأقلّ، أنّه توصّل إلى معرفة سبب الانفجار والمشتبه بهم في تفجيره (كما يسرّب للإعلام تفاصيل أخرى تتعلق بالوزراء).</w:t>
      </w:r>
      <w:r w:rsidRPr="00161131">
        <w:rPr>
          <w:rFonts w:ascii="Arial" w:eastAsia="Times New Roman" w:hAnsi="Arial" w:cs="Arial"/>
          <w:color w:val="000000"/>
          <w:sz w:val="23"/>
          <w:szCs w:val="23"/>
          <w:rtl/>
        </w:rPr>
        <w:br/>
        <w:t>إلّا أنّ المحقق العدلي بيطار اختار الشعبوية وبدأ يسرّب لوسائل الإعلام أنّه ادّعى على رئيس الحكومة والوزراء وكبار الضبّاط... ليكسب شعبية خاصّة من قبل أهالي ضحايا الانفجار.</w:t>
      </w:r>
      <w:r w:rsidRPr="00161131">
        <w:rPr>
          <w:rFonts w:ascii="Arial" w:eastAsia="Times New Roman" w:hAnsi="Arial" w:cs="Arial"/>
          <w:color w:val="000000"/>
          <w:sz w:val="23"/>
          <w:szCs w:val="23"/>
          <w:rtl/>
        </w:rPr>
        <w:br/>
        <w:t>وكذلك خالف المحقق العدلي الأصول عندما اجتمع علناً مع وفد يمثّل أهالي الضحايا (الجهة المدّعية) دون حضور أيٍّ من المدّعى عليهم أو إبلاغهم عن هذا الاجتماع.</w:t>
      </w:r>
      <w:r w:rsidRPr="00161131">
        <w:rPr>
          <w:rFonts w:ascii="Arial" w:eastAsia="Times New Roman" w:hAnsi="Arial" w:cs="Arial"/>
          <w:color w:val="000000"/>
          <w:sz w:val="23"/>
          <w:szCs w:val="23"/>
          <w:rtl/>
        </w:rPr>
        <w:br/>
        <w:t>وهنا لا بدّ من التمييز بين الجرم غير القصدي (عقوبة أخفّ) والجرم القصدي وفقاً للقصد الاحتمالي.</w:t>
      </w:r>
      <w:r w:rsidRPr="00161131">
        <w:rPr>
          <w:rFonts w:ascii="Arial" w:eastAsia="Times New Roman" w:hAnsi="Arial" w:cs="Arial"/>
          <w:color w:val="000000"/>
          <w:sz w:val="23"/>
          <w:szCs w:val="23"/>
          <w:rtl/>
        </w:rPr>
        <w:br/>
        <w:t>القصد الاحتمالي:</w:t>
      </w:r>
      <w:r w:rsidRPr="00161131">
        <w:rPr>
          <w:rFonts w:ascii="Arial" w:eastAsia="Times New Roman" w:hAnsi="Arial" w:cs="Arial"/>
          <w:color w:val="000000"/>
          <w:sz w:val="23"/>
          <w:szCs w:val="23"/>
          <w:rtl/>
        </w:rPr>
        <w:br/>
        <w:t>تنصّ المادّة /189/ عقوبات:</w:t>
      </w:r>
      <w:r w:rsidRPr="00161131">
        <w:rPr>
          <w:rFonts w:ascii="Arial" w:eastAsia="Times New Roman" w:hAnsi="Arial" w:cs="Arial"/>
          <w:color w:val="000000"/>
          <w:sz w:val="23"/>
          <w:szCs w:val="23"/>
          <w:rtl/>
        </w:rPr>
        <w:br/>
        <w:t>"تُعدّ الجريمة مقصودة وإن تجاوزت النتيجة الجرمية الناشئة عن الفعل أو عدم الفعل قصد الفاعل إذا كان قد توقع حصولها فقبل بالمخاطرة".</w:t>
      </w:r>
      <w:r w:rsidRPr="00161131">
        <w:rPr>
          <w:rFonts w:ascii="Arial" w:eastAsia="Times New Roman" w:hAnsi="Arial" w:cs="Arial"/>
          <w:color w:val="000000"/>
          <w:sz w:val="23"/>
          <w:szCs w:val="23"/>
          <w:rtl/>
        </w:rPr>
        <w:br/>
        <w:t>هنا أراد المشترع التشدّد في العقاب عندما اعتبر الجريمة مقصودة وإن تجاوزت النتيجة الجرمية الناشئة عن الفعل أو عدم الفعل قصد الفاعل إذا كان قد توقع حصولها فقبل بالمخاطرة.</w:t>
      </w:r>
      <w:r w:rsidRPr="00161131">
        <w:rPr>
          <w:rFonts w:ascii="Arial" w:eastAsia="Times New Roman" w:hAnsi="Arial" w:cs="Arial"/>
          <w:color w:val="000000"/>
          <w:sz w:val="23"/>
          <w:szCs w:val="23"/>
          <w:rtl/>
        </w:rPr>
        <w:br/>
        <w:t>- ماهيّة الموادّ المخزنة؟ طبيعتها؟</w:t>
      </w:r>
      <w:r w:rsidRPr="00161131">
        <w:rPr>
          <w:rFonts w:ascii="Arial" w:eastAsia="Times New Roman" w:hAnsi="Arial" w:cs="Arial"/>
          <w:color w:val="000000"/>
          <w:sz w:val="23"/>
          <w:szCs w:val="23"/>
          <w:rtl/>
        </w:rPr>
        <w:br/>
        <w:t>- إن لم تُنقل هذه الموادّ أو يُصَر إلى حلٍّ لها فسيقع انفجار فيها (أي ذكر تفاصيل تتعلق بحصول الانفجار إن لم تُتَّخذ إجراءات معيّنة مع ذكر هذه الإجراءات).</w:t>
      </w:r>
      <w:r w:rsidRPr="00161131">
        <w:rPr>
          <w:rFonts w:ascii="Arial" w:eastAsia="Times New Roman" w:hAnsi="Arial" w:cs="Arial"/>
          <w:color w:val="000000"/>
          <w:sz w:val="23"/>
          <w:szCs w:val="23"/>
          <w:rtl/>
        </w:rPr>
        <w:br/>
        <w:t>- في هذه الحالة فقط يلاحقون قصداً وفقاً للقصد الاحتمالي...</w:t>
      </w:r>
      <w:r w:rsidRPr="00161131">
        <w:rPr>
          <w:rFonts w:ascii="Arial" w:eastAsia="Times New Roman" w:hAnsi="Arial" w:cs="Arial"/>
          <w:color w:val="000000"/>
          <w:sz w:val="23"/>
          <w:szCs w:val="23"/>
          <w:rtl/>
        </w:rPr>
        <w:br/>
        <w:t>- وإلّا لا يلاحَقوا إلّا لارتكابهم خطأ الإهمال الذي تسبّب بوقوع ضحايا وإصابات، وهي جرائم غير قصدية سنداً للمادّة /191/ عقوبات.</w:t>
      </w:r>
      <w:r w:rsidRPr="00161131">
        <w:rPr>
          <w:rFonts w:ascii="Arial" w:eastAsia="Times New Roman" w:hAnsi="Arial" w:cs="Arial"/>
          <w:color w:val="000000"/>
          <w:sz w:val="23"/>
          <w:szCs w:val="23"/>
          <w:rtl/>
        </w:rPr>
        <w:br/>
        <w:t>مع يقيننا الأكيد بأنّ كافة المسؤولين في لبنان لم يكونوا على دراية بطبيعة الموادّ المخزنة ومخاطر تخزينها وإمكانية انفجارها... فتكون مسؤوليات رئيس الحكومة والوزراء – إذا ما لوحقوا أصولاً – مؤلفة لجرم غير قصدي.</w:t>
      </w:r>
    </w:p>
    <w:p w:rsidR="00161131" w:rsidRDefault="00161131">
      <w:bookmarkStart w:id="0" w:name="_GoBack"/>
      <w:bookmarkEnd w:id="0"/>
    </w:p>
    <w:sectPr w:rsidR="001611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2F5B19"/>
    <w:multiLevelType w:val="multilevel"/>
    <w:tmpl w:val="2920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31"/>
    <w:rsid w:val="00161131"/>
    <w:rsid w:val="00386F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6C666-4E6C-4397-ADB6-E4EA69B4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11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16113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131"/>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61131"/>
    <w:rPr>
      <w:rFonts w:ascii="Times New Roman" w:eastAsia="Times New Roman" w:hAnsi="Times New Roman" w:cs="Times New Roman"/>
      <w:b/>
      <w:bCs/>
      <w:sz w:val="20"/>
      <w:szCs w:val="20"/>
    </w:rPr>
  </w:style>
  <w:style w:type="character" w:customStyle="1" w:styleId="date">
    <w:name w:val="date"/>
    <w:basedOn w:val="DefaultParagraphFont"/>
    <w:rsid w:val="00161131"/>
  </w:style>
  <w:style w:type="character" w:customStyle="1" w:styleId="source">
    <w:name w:val="source"/>
    <w:basedOn w:val="DefaultParagraphFont"/>
    <w:rsid w:val="00161131"/>
  </w:style>
  <w:style w:type="paragraph" w:customStyle="1" w:styleId="article-mainshare-item">
    <w:name w:val="article-main__share-item"/>
    <w:basedOn w:val="Normal"/>
    <w:rsid w:val="001611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1131"/>
    <w:rPr>
      <w:color w:val="0000FF"/>
      <w:u w:val="single"/>
    </w:rPr>
  </w:style>
  <w:style w:type="character" w:styleId="Strong">
    <w:name w:val="Strong"/>
    <w:basedOn w:val="DefaultParagraphFont"/>
    <w:uiPriority w:val="22"/>
    <w:qFormat/>
    <w:rsid w:val="00161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493759">
      <w:bodyDiv w:val="1"/>
      <w:marLeft w:val="0"/>
      <w:marRight w:val="0"/>
      <w:marTop w:val="0"/>
      <w:marBottom w:val="0"/>
      <w:divBdr>
        <w:top w:val="none" w:sz="0" w:space="0" w:color="auto"/>
        <w:left w:val="none" w:sz="0" w:space="0" w:color="auto"/>
        <w:bottom w:val="none" w:sz="0" w:space="0" w:color="auto"/>
        <w:right w:val="none" w:sz="0" w:space="0" w:color="auto"/>
      </w:divBdr>
      <w:divsChild>
        <w:div w:id="2052924844">
          <w:marLeft w:val="0"/>
          <w:marRight w:val="0"/>
          <w:marTop w:val="0"/>
          <w:marBottom w:val="0"/>
          <w:divBdr>
            <w:top w:val="none" w:sz="0" w:space="0" w:color="auto"/>
            <w:left w:val="none" w:sz="0" w:space="0" w:color="auto"/>
            <w:bottom w:val="none" w:sz="0" w:space="0" w:color="auto"/>
            <w:right w:val="none" w:sz="0" w:space="0" w:color="auto"/>
          </w:divBdr>
          <w:divsChild>
            <w:div w:id="169295418">
              <w:marLeft w:val="0"/>
              <w:marRight w:val="0"/>
              <w:marTop w:val="0"/>
              <w:marBottom w:val="0"/>
              <w:divBdr>
                <w:top w:val="none" w:sz="0" w:space="0" w:color="auto"/>
                <w:left w:val="none" w:sz="0" w:space="0" w:color="auto"/>
                <w:bottom w:val="none" w:sz="0" w:space="0" w:color="auto"/>
                <w:right w:val="none" w:sz="0" w:space="0" w:color="auto"/>
              </w:divBdr>
            </w:div>
            <w:div w:id="1649899146">
              <w:marLeft w:val="0"/>
              <w:marRight w:val="0"/>
              <w:marTop w:val="0"/>
              <w:marBottom w:val="150"/>
              <w:divBdr>
                <w:top w:val="none" w:sz="0" w:space="0" w:color="auto"/>
                <w:left w:val="none" w:sz="0" w:space="0" w:color="auto"/>
                <w:bottom w:val="none" w:sz="0" w:space="0" w:color="auto"/>
                <w:right w:val="none" w:sz="0" w:space="0" w:color="auto"/>
              </w:divBdr>
            </w:div>
            <w:div w:id="1117024041">
              <w:marLeft w:val="0"/>
              <w:marRight w:val="0"/>
              <w:marTop w:val="0"/>
              <w:marBottom w:val="0"/>
              <w:divBdr>
                <w:top w:val="none" w:sz="0" w:space="0" w:color="auto"/>
                <w:left w:val="none" w:sz="0" w:space="0" w:color="auto"/>
                <w:bottom w:val="none" w:sz="0" w:space="0" w:color="auto"/>
                <w:right w:val="none" w:sz="0" w:space="0" w:color="auto"/>
              </w:divBdr>
              <w:divsChild>
                <w:div w:id="1282808455">
                  <w:marLeft w:val="0"/>
                  <w:marRight w:val="0"/>
                  <w:marTop w:val="0"/>
                  <w:marBottom w:val="0"/>
                  <w:divBdr>
                    <w:top w:val="none" w:sz="0" w:space="0" w:color="auto"/>
                    <w:left w:val="none" w:sz="0" w:space="0" w:color="auto"/>
                    <w:bottom w:val="none" w:sz="0" w:space="0" w:color="auto"/>
                    <w:right w:val="none" w:sz="0" w:space="0" w:color="auto"/>
                  </w:divBdr>
                  <w:divsChild>
                    <w:div w:id="1500272805">
                      <w:marLeft w:val="0"/>
                      <w:marRight w:val="0"/>
                      <w:marTop w:val="0"/>
                      <w:marBottom w:val="0"/>
                      <w:divBdr>
                        <w:top w:val="none" w:sz="0" w:space="0" w:color="auto"/>
                        <w:left w:val="none" w:sz="0" w:space="0" w:color="auto"/>
                        <w:bottom w:val="none" w:sz="0" w:space="0" w:color="auto"/>
                        <w:right w:val="none" w:sz="0" w:space="0" w:color="auto"/>
                      </w:divBdr>
                      <w:divsChild>
                        <w:div w:id="86388826">
                          <w:marLeft w:val="0"/>
                          <w:marRight w:val="0"/>
                          <w:marTop w:val="0"/>
                          <w:marBottom w:val="225"/>
                          <w:divBdr>
                            <w:top w:val="none" w:sz="0" w:space="0" w:color="auto"/>
                            <w:left w:val="none" w:sz="0" w:space="0" w:color="auto"/>
                            <w:bottom w:val="none" w:sz="0" w:space="0" w:color="auto"/>
                            <w:right w:val="none" w:sz="0" w:space="0" w:color="auto"/>
                          </w:divBdr>
                        </w:div>
                        <w:div w:id="108935541">
                          <w:marLeft w:val="0"/>
                          <w:marRight w:val="0"/>
                          <w:marTop w:val="0"/>
                          <w:marBottom w:val="0"/>
                          <w:divBdr>
                            <w:top w:val="none" w:sz="0" w:space="0" w:color="auto"/>
                            <w:left w:val="none" w:sz="0" w:space="0" w:color="auto"/>
                            <w:bottom w:val="none" w:sz="0" w:space="0" w:color="auto"/>
                            <w:right w:val="none" w:sz="0" w:space="0" w:color="auto"/>
                          </w:divBdr>
                          <w:divsChild>
                            <w:div w:id="117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5037">
              <w:marLeft w:val="0"/>
              <w:marRight w:val="0"/>
              <w:marTop w:val="0"/>
              <w:marBottom w:val="0"/>
              <w:divBdr>
                <w:top w:val="none" w:sz="0" w:space="0" w:color="auto"/>
                <w:left w:val="none" w:sz="0" w:space="0" w:color="auto"/>
                <w:bottom w:val="none" w:sz="0" w:space="0" w:color="auto"/>
                <w:right w:val="none" w:sz="0" w:space="0" w:color="auto"/>
              </w:divBdr>
              <w:divsChild>
                <w:div w:id="545871520">
                  <w:marLeft w:val="0"/>
                  <w:marRight w:val="0"/>
                  <w:marTop w:val="0"/>
                  <w:marBottom w:val="0"/>
                  <w:divBdr>
                    <w:top w:val="none" w:sz="0" w:space="0" w:color="auto"/>
                    <w:left w:val="none" w:sz="0" w:space="0" w:color="auto"/>
                    <w:bottom w:val="none" w:sz="0" w:space="0" w:color="auto"/>
                    <w:right w:val="none" w:sz="0" w:space="0" w:color="auto"/>
                  </w:divBdr>
                  <w:divsChild>
                    <w:div w:id="1537502493">
                      <w:marLeft w:val="0"/>
                      <w:marRight w:val="0"/>
                      <w:marTop w:val="0"/>
                      <w:marBottom w:val="0"/>
                      <w:divBdr>
                        <w:top w:val="none" w:sz="0" w:space="0" w:color="auto"/>
                        <w:left w:val="none" w:sz="0" w:space="0" w:color="auto"/>
                        <w:bottom w:val="none" w:sz="0" w:space="0" w:color="auto"/>
                        <w:right w:val="none" w:sz="0" w:space="0" w:color="auto"/>
                      </w:divBdr>
                      <w:divsChild>
                        <w:div w:id="1519855741">
                          <w:marLeft w:val="0"/>
                          <w:marRight w:val="0"/>
                          <w:marTop w:val="0"/>
                          <w:marBottom w:val="0"/>
                          <w:divBdr>
                            <w:top w:val="none" w:sz="0" w:space="0" w:color="auto"/>
                            <w:left w:val="none" w:sz="0" w:space="0" w:color="auto"/>
                            <w:bottom w:val="none" w:sz="0" w:space="0" w:color="auto"/>
                            <w:right w:val="none" w:sz="0" w:space="0" w:color="auto"/>
                          </w:divBdr>
                          <w:divsChild>
                            <w:div w:id="5419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0099">
          <w:marLeft w:val="0"/>
          <w:marRight w:val="0"/>
          <w:marTop w:val="0"/>
          <w:marBottom w:val="0"/>
          <w:divBdr>
            <w:top w:val="none" w:sz="0" w:space="0" w:color="auto"/>
            <w:left w:val="none" w:sz="0" w:space="0" w:color="auto"/>
            <w:bottom w:val="none" w:sz="0" w:space="0" w:color="auto"/>
            <w:right w:val="none" w:sz="0" w:space="0" w:color="auto"/>
          </w:divBdr>
          <w:divsChild>
            <w:div w:id="798455252">
              <w:marLeft w:val="0"/>
              <w:marRight w:val="0"/>
              <w:marTop w:val="0"/>
              <w:marBottom w:val="0"/>
              <w:divBdr>
                <w:top w:val="none" w:sz="0" w:space="0" w:color="auto"/>
                <w:left w:val="none" w:sz="0" w:space="0" w:color="auto"/>
                <w:bottom w:val="none" w:sz="0" w:space="0" w:color="auto"/>
                <w:right w:val="none" w:sz="0" w:space="0" w:color="auto"/>
              </w:divBdr>
              <w:divsChild>
                <w:div w:id="1136068630">
                  <w:marLeft w:val="0"/>
                  <w:marRight w:val="0"/>
                  <w:marTop w:val="0"/>
                  <w:marBottom w:val="0"/>
                  <w:divBdr>
                    <w:top w:val="none" w:sz="0" w:space="0" w:color="auto"/>
                    <w:left w:val="none" w:sz="0" w:space="0" w:color="auto"/>
                    <w:bottom w:val="none" w:sz="0" w:space="0" w:color="auto"/>
                    <w:right w:val="none" w:sz="0" w:space="0" w:color="auto"/>
                  </w:divBdr>
                  <w:divsChild>
                    <w:div w:id="1012563633">
                      <w:marLeft w:val="0"/>
                      <w:marRight w:val="0"/>
                      <w:marTop w:val="0"/>
                      <w:marBottom w:val="0"/>
                      <w:divBdr>
                        <w:top w:val="none" w:sz="0" w:space="0" w:color="auto"/>
                        <w:left w:val="none" w:sz="0" w:space="0" w:color="auto"/>
                        <w:bottom w:val="none" w:sz="0" w:space="0" w:color="auto"/>
                        <w:right w:val="none" w:sz="0" w:space="0" w:color="auto"/>
                      </w:divBdr>
                    </w:div>
                    <w:div w:id="445002597">
                      <w:marLeft w:val="0"/>
                      <w:marRight w:val="0"/>
                      <w:marTop w:val="0"/>
                      <w:marBottom w:val="600"/>
                      <w:divBdr>
                        <w:top w:val="none" w:sz="0" w:space="0" w:color="auto"/>
                        <w:left w:val="none" w:sz="0" w:space="0" w:color="auto"/>
                        <w:bottom w:val="none" w:sz="0" w:space="0" w:color="auto"/>
                        <w:right w:val="none" w:sz="0" w:space="0" w:color="auto"/>
                      </w:divBdr>
                      <w:divsChild>
                        <w:div w:id="119301968">
                          <w:marLeft w:val="0"/>
                          <w:marRight w:val="0"/>
                          <w:marTop w:val="0"/>
                          <w:marBottom w:val="0"/>
                          <w:divBdr>
                            <w:top w:val="none" w:sz="0" w:space="0" w:color="auto"/>
                            <w:left w:val="none" w:sz="0" w:space="0" w:color="auto"/>
                            <w:bottom w:val="none" w:sz="0" w:space="0" w:color="auto"/>
                            <w:right w:val="none" w:sz="0" w:space="0" w:color="auto"/>
                          </w:divBdr>
                        </w:div>
                        <w:div w:id="2098205860">
                          <w:marLeft w:val="0"/>
                          <w:marRight w:val="0"/>
                          <w:marTop w:val="0"/>
                          <w:marBottom w:val="0"/>
                          <w:divBdr>
                            <w:top w:val="none" w:sz="0" w:space="0" w:color="auto"/>
                            <w:left w:val="none" w:sz="0" w:space="0" w:color="auto"/>
                            <w:bottom w:val="none" w:sz="0" w:space="0" w:color="auto"/>
                            <w:right w:val="none" w:sz="0" w:space="0" w:color="auto"/>
                          </w:divBdr>
                        </w:div>
                        <w:div w:id="16850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yzmfgub2&amp;text=%d8%af%d8%b1%d8%a7%d8%b3%d8%a9+%d9%82%d8%a7%d9%86%d9%88%d9%86%d9%8a%d8%a9+%d9%84%d9%82%d8%b1%d8%a7%d8%b1%d8%a7%d8%aa+%d8%a7%d9%84%d9%85%d8%ad%d9%82%d9%82+%d8%a7%d9%84%d8%b9%d8%af%d9%84%d9%8a+%d9%81%d9%8a+%d9%85%d9%84%d9%81%d9%91+%d8%a7%d9%86%d9%81%d8%ac%d8%a7%d8%b1+%d9%85%d8%b1%d9%81%d8%a3+%d8%a8%d9%8a%d8%b1%d9%88%d8%aa" TargetMode="External"/><Relationship Id="rId13" Type="http://schemas.openxmlformats.org/officeDocument/2006/relationships/hyperlink" Target="javascript:zoomText(-2);" TargetMode="External"/><Relationship Id="rId3" Type="http://schemas.openxmlformats.org/officeDocument/2006/relationships/settings" Target="settings.xml"/><Relationship Id="rId7" Type="http://schemas.openxmlformats.org/officeDocument/2006/relationships/hyperlink" Target="https://api.whatsapp.com/send?phone=&amp;text=%d8%af%d8%b1%d8%a7%d8%b3%d8%a9+%d9%82%d8%a7%d9%86%d9%88%d9%86%d9%8a%d8%a9+%d9%84%d9%82%d8%b1%d8%a7%d8%b1%d8%a7%d8%aa+%d8%a7%d9%84%d9%85%d8%ad%d9%82%d9%82+%d8%a7%d9%84%d8%b9%d8%af%d9%84%d9%8a+%d9%81%d9%8a+%d9%85%d9%84%d9%81%d9%91+%d8%a7%d9%86%d9%81%d8%ac%d8%a7%d8%b1+%d9%85%d8%b1%d9%81%d8%a3+%d8%a8%d9%8a%d8%b1%d9%88%d8%aa%20https%3a%2f%2ftinyurl.com%2fyzmfgub2" TargetMode="External"/><Relationship Id="rId12" Type="http://schemas.openxmlformats.org/officeDocument/2006/relationships/hyperlink" Target="javascript:zoomText(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image" Target="media/image1.jpeg"/><Relationship Id="rId5" Type="http://schemas.openxmlformats.org/officeDocument/2006/relationships/hyperlink" Target="javascript:;" TargetMode="External"/><Relationship Id="rId15" Type="http://schemas.openxmlformats.org/officeDocument/2006/relationships/hyperlink" Target="https://www.annahar.com/arabic/news/listing?tag=%d9%85%d8%b1%d9%81%d8%a3+%d8%a8%d9%8a%d8%b1%d9%88%d8%aa"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b7%d8%a7%d8%b1%d9%82+%d8%a8%d9%8a%d8%b7%d8%a7%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8938</Characters>
  <Application>Microsoft Office Word</Application>
  <DocSecurity>0</DocSecurity>
  <Lines>74</Lines>
  <Paragraphs>20</Paragraphs>
  <ScaleCrop>false</ScaleCrop>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2021-10-19T19:26:00Z</dcterms:created>
  <dcterms:modified xsi:type="dcterms:W3CDTF">2021-10-19T19:26:00Z</dcterms:modified>
</cp:coreProperties>
</file>