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CellSpacing w:w="0" w:type="dxa"/>
        <w:tblCellMar>
          <w:left w:w="0" w:type="dxa"/>
          <w:right w:w="0" w:type="dxa"/>
        </w:tblCellMar>
        <w:tblLook w:val="04A0" w:firstRow="1" w:lastRow="0" w:firstColumn="1" w:lastColumn="0" w:noHBand="0" w:noVBand="1"/>
      </w:tblPr>
      <w:tblGrid>
        <w:gridCol w:w="8640"/>
      </w:tblGrid>
      <w:tr w:rsidR="003333AC" w:rsidRPr="003333AC" w14:paraId="62F3C5F3" w14:textId="77777777" w:rsidTr="003333AC">
        <w:trPr>
          <w:tblCellSpacing w:w="0" w:type="dxa"/>
          <w:jc w:val="center"/>
        </w:trPr>
        <w:tc>
          <w:tcPr>
            <w:tcW w:w="0" w:type="auto"/>
            <w:vAlign w:val="center"/>
            <w:hideMark/>
          </w:tcPr>
          <w:p w14:paraId="6257F235" w14:textId="77777777" w:rsidR="003333AC" w:rsidRPr="003333AC" w:rsidRDefault="003333AC" w:rsidP="003333AC">
            <w:pPr>
              <w:bidi/>
              <w:spacing w:before="100" w:beforeAutospacing="1" w:after="100" w:afterAutospacing="1" w:line="240" w:lineRule="auto"/>
              <w:rPr>
                <w:rFonts w:ascii="Tahoma" w:eastAsia="Times New Roman" w:hAnsi="Tahoma" w:cs="Tahoma"/>
                <w:color w:val="333333"/>
                <w:sz w:val="21"/>
                <w:szCs w:val="21"/>
              </w:rPr>
            </w:pPr>
            <w:r w:rsidRPr="003333AC">
              <w:rPr>
                <w:rFonts w:ascii="Tahoma" w:eastAsia="Times New Roman" w:hAnsi="Tahoma" w:cs="Tahoma"/>
                <w:b/>
                <w:bCs/>
                <w:color w:val="E3101B"/>
                <w:sz w:val="21"/>
                <w:szCs w:val="21"/>
                <w:rtl/>
              </w:rPr>
              <w:t>لهذا السبب يستحيل نقل صلاحيات رئيس الجمهورية، إلى حكومة ميقاتي</w:t>
            </w:r>
          </w:p>
        </w:tc>
      </w:tr>
      <w:tr w:rsidR="003333AC" w:rsidRPr="003333AC" w14:paraId="2D6056DE" w14:textId="77777777" w:rsidTr="003333AC">
        <w:trPr>
          <w:tblCellSpacing w:w="0" w:type="dxa"/>
          <w:jc w:val="center"/>
        </w:trPr>
        <w:tc>
          <w:tcPr>
            <w:tcW w:w="0" w:type="auto"/>
            <w:vAlign w:val="center"/>
            <w:hideMark/>
          </w:tcPr>
          <w:tbl>
            <w:tblPr>
              <w:bidiVisual/>
              <w:tblW w:w="5000" w:type="pct"/>
              <w:jc w:val="center"/>
              <w:tblCellSpacing w:w="0" w:type="dxa"/>
              <w:tblCellMar>
                <w:left w:w="0" w:type="dxa"/>
                <w:right w:w="0" w:type="dxa"/>
              </w:tblCellMar>
              <w:tblLook w:val="04A0" w:firstRow="1" w:lastRow="0" w:firstColumn="1" w:lastColumn="0" w:noHBand="0" w:noVBand="1"/>
            </w:tblPr>
            <w:tblGrid>
              <w:gridCol w:w="7680"/>
              <w:gridCol w:w="300"/>
              <w:gridCol w:w="360"/>
              <w:gridCol w:w="300"/>
            </w:tblGrid>
            <w:tr w:rsidR="003333AC" w:rsidRPr="003333AC" w14:paraId="1B07089B" w14:textId="77777777">
              <w:trPr>
                <w:tblCellSpacing w:w="0" w:type="dxa"/>
                <w:jc w:val="center"/>
              </w:trPr>
              <w:tc>
                <w:tcPr>
                  <w:tcW w:w="0" w:type="auto"/>
                  <w:vAlign w:val="center"/>
                  <w:hideMark/>
                </w:tcPr>
                <w:tbl>
                  <w:tblPr>
                    <w:tblpPr w:leftFromText="45" w:rightFromText="45" w:vertAnchor="text" w:tblpXSpec="right" w:tblpYSpec="center"/>
                    <w:bidiVisual/>
                    <w:tblW w:w="0" w:type="auto"/>
                    <w:tblCellSpacing w:w="0" w:type="dxa"/>
                    <w:tblCellMar>
                      <w:left w:w="0" w:type="dxa"/>
                      <w:right w:w="0" w:type="dxa"/>
                    </w:tblCellMar>
                    <w:tblLook w:val="04A0" w:firstRow="1" w:lastRow="0" w:firstColumn="1" w:lastColumn="0" w:noHBand="0" w:noVBand="1"/>
                  </w:tblPr>
                  <w:tblGrid>
                    <w:gridCol w:w="1261"/>
                    <w:gridCol w:w="6000"/>
                  </w:tblGrid>
                  <w:tr w:rsidR="003333AC" w:rsidRPr="003333AC" w14:paraId="734502B0" w14:textId="77777777">
                    <w:trPr>
                      <w:tblCellSpacing w:w="0" w:type="dxa"/>
                    </w:trPr>
                    <w:tc>
                      <w:tcPr>
                        <w:tcW w:w="0" w:type="auto"/>
                        <w:vAlign w:val="center"/>
                        <w:hideMark/>
                      </w:tcPr>
                      <w:p w14:paraId="3CFDEE4B" w14:textId="77777777" w:rsidR="003333AC" w:rsidRPr="003333AC" w:rsidRDefault="003333AC" w:rsidP="003333AC">
                        <w:pPr>
                          <w:bidi/>
                          <w:spacing w:after="0" w:line="240" w:lineRule="auto"/>
                          <w:rPr>
                            <w:rFonts w:ascii="Times New Roman" w:eastAsia="Times New Roman" w:hAnsi="Times New Roman" w:cs="Times New Roman"/>
                            <w:sz w:val="24"/>
                            <w:szCs w:val="24"/>
                            <w:rtl/>
                          </w:rPr>
                        </w:pPr>
                        <w:r w:rsidRPr="003333AC">
                          <w:rPr>
                            <w:rFonts w:ascii="Times New Roman" w:eastAsia="Times New Roman" w:hAnsi="Times New Roman" w:cs="Times New Roman"/>
                            <w:sz w:val="24"/>
                            <w:szCs w:val="24"/>
                            <w:rtl/>
                          </w:rPr>
                          <w:t>2022 أيلول 06</w:t>
                        </w:r>
                      </w:p>
                    </w:tc>
                    <w:tc>
                      <w:tcPr>
                        <w:tcW w:w="6000" w:type="dxa"/>
                        <w:vAlign w:val="center"/>
                        <w:hideMark/>
                      </w:tcPr>
                      <w:p w14:paraId="74AB861D" w14:textId="77777777" w:rsidR="003333AC" w:rsidRPr="003333AC" w:rsidRDefault="003333AC" w:rsidP="003333AC">
                        <w:pPr>
                          <w:bidi/>
                          <w:spacing w:after="0" w:line="240" w:lineRule="auto"/>
                          <w:rPr>
                            <w:rFonts w:ascii="Times New Roman" w:eastAsia="Times New Roman" w:hAnsi="Times New Roman" w:cs="Times New Roman"/>
                            <w:sz w:val="24"/>
                            <w:szCs w:val="24"/>
                            <w:rtl/>
                          </w:rPr>
                        </w:pPr>
                        <w:r w:rsidRPr="003333AC">
                          <w:rPr>
                            <w:rFonts w:ascii="Times New Roman" w:eastAsia="Times New Roman" w:hAnsi="Times New Roman" w:cs="Times New Roman"/>
                            <w:noProof/>
                            <w:sz w:val="24"/>
                            <w:szCs w:val="24"/>
                          </w:rPr>
                          <w:drawing>
                            <wp:inline distT="0" distB="0" distL="0" distR="0" wp14:anchorId="143C2789" wp14:editId="62C576BA">
                              <wp:extent cx="476250" cy="44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 cy="44450"/>
                                      </a:xfrm>
                                      <a:prstGeom prst="rect">
                                        <a:avLst/>
                                      </a:prstGeom>
                                      <a:noFill/>
                                      <a:ln>
                                        <a:noFill/>
                                      </a:ln>
                                    </pic:spPr>
                                  </pic:pic>
                                </a:graphicData>
                              </a:graphic>
                            </wp:inline>
                          </w:drawing>
                        </w:r>
                        <w:hyperlink r:id="rId5" w:history="1">
                          <w:r w:rsidRPr="003333AC">
                            <w:rPr>
                              <w:rFonts w:ascii="Times New Roman" w:eastAsia="Times New Roman" w:hAnsi="Times New Roman" w:cs="Times New Roman"/>
                              <w:color w:val="333333"/>
                              <w:sz w:val="21"/>
                              <w:szCs w:val="21"/>
                              <w:u w:val="single"/>
                              <w:rtl/>
                            </w:rPr>
                            <w:t>مقالات وأراء</w:t>
                          </w:r>
                        </w:hyperlink>
                      </w:p>
                    </w:tc>
                  </w:tr>
                </w:tbl>
                <w:p w14:paraId="39851964" w14:textId="77777777" w:rsidR="003333AC" w:rsidRPr="003333AC" w:rsidRDefault="003333AC" w:rsidP="003333AC">
                  <w:pPr>
                    <w:bidi/>
                    <w:spacing w:after="0" w:line="240" w:lineRule="auto"/>
                    <w:rPr>
                      <w:rFonts w:ascii="Times New Roman" w:eastAsia="Times New Roman" w:hAnsi="Times New Roman" w:cs="Times New Roman"/>
                      <w:sz w:val="24"/>
                      <w:szCs w:val="24"/>
                      <w:rtl/>
                    </w:rPr>
                  </w:pPr>
                </w:p>
              </w:tc>
              <w:tc>
                <w:tcPr>
                  <w:tcW w:w="300" w:type="dxa"/>
                  <w:vAlign w:val="center"/>
                  <w:hideMark/>
                </w:tcPr>
                <w:p w14:paraId="422BEA1E" w14:textId="77777777" w:rsidR="003333AC" w:rsidRPr="003333AC" w:rsidRDefault="003333AC" w:rsidP="003333AC">
                  <w:pPr>
                    <w:bidi/>
                    <w:spacing w:after="0" w:line="240" w:lineRule="auto"/>
                    <w:rPr>
                      <w:rFonts w:ascii="Times New Roman" w:eastAsia="Times New Roman" w:hAnsi="Times New Roman" w:cs="Times New Roman"/>
                      <w:sz w:val="24"/>
                      <w:szCs w:val="24"/>
                    </w:rPr>
                  </w:pPr>
                  <w:r w:rsidRPr="003333AC">
                    <w:rPr>
                      <w:rFonts w:ascii="Times New Roman" w:eastAsia="Times New Roman" w:hAnsi="Times New Roman" w:cs="Times New Roman"/>
                      <w:noProof/>
                      <w:color w:val="333333"/>
                      <w:sz w:val="21"/>
                      <w:szCs w:val="21"/>
                    </w:rPr>
                    <w:drawing>
                      <wp:inline distT="0" distB="0" distL="0" distR="0" wp14:anchorId="4C68B41B" wp14:editId="67D25748">
                        <wp:extent cx="152400" cy="171450"/>
                        <wp:effectExtent l="0" t="0" r="0" b="0"/>
                        <wp:docPr id="14" name="Picture 1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360" w:type="dxa"/>
                  <w:vAlign w:val="center"/>
                  <w:hideMark/>
                </w:tcPr>
                <w:p w14:paraId="29C1641B" w14:textId="77777777" w:rsidR="003333AC" w:rsidRPr="003333AC" w:rsidRDefault="003333AC" w:rsidP="003333AC">
                  <w:pPr>
                    <w:bidi/>
                    <w:spacing w:after="0" w:line="240" w:lineRule="auto"/>
                    <w:jc w:val="center"/>
                    <w:rPr>
                      <w:rFonts w:ascii="Times New Roman" w:eastAsia="Times New Roman" w:hAnsi="Times New Roman" w:cs="Times New Roman"/>
                      <w:sz w:val="24"/>
                      <w:szCs w:val="24"/>
                      <w:rtl/>
                    </w:rPr>
                  </w:pPr>
                  <w:r w:rsidRPr="003333AC">
                    <w:rPr>
                      <w:rFonts w:ascii="Times New Roman" w:eastAsia="Times New Roman" w:hAnsi="Times New Roman" w:cs="Times New Roman"/>
                      <w:noProof/>
                      <w:color w:val="333333"/>
                      <w:sz w:val="21"/>
                      <w:szCs w:val="21"/>
                    </w:rPr>
                    <w:drawing>
                      <wp:inline distT="0" distB="0" distL="0" distR="0" wp14:anchorId="0B6B5F71" wp14:editId="31393650">
                        <wp:extent cx="152400" cy="171450"/>
                        <wp:effectExtent l="0" t="0" r="0" b="0"/>
                        <wp:docPr id="13" name="Picture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300" w:type="dxa"/>
                  <w:vAlign w:val="center"/>
                  <w:hideMark/>
                </w:tcPr>
                <w:p w14:paraId="7B2A262A" w14:textId="77777777" w:rsidR="003333AC" w:rsidRPr="003333AC" w:rsidRDefault="003333AC" w:rsidP="003333AC">
                  <w:pPr>
                    <w:bidi/>
                    <w:spacing w:after="0" w:line="240" w:lineRule="auto"/>
                    <w:rPr>
                      <w:rFonts w:ascii="Times New Roman" w:eastAsia="Times New Roman" w:hAnsi="Times New Roman" w:cs="Times New Roman"/>
                      <w:sz w:val="24"/>
                      <w:szCs w:val="24"/>
                      <w:rtl/>
                    </w:rPr>
                  </w:pPr>
                  <w:r w:rsidRPr="003333AC">
                    <w:rPr>
                      <w:rFonts w:ascii="Times New Roman" w:eastAsia="Times New Roman" w:hAnsi="Times New Roman" w:cs="Times New Roman"/>
                      <w:noProof/>
                      <w:color w:val="333333"/>
                      <w:sz w:val="21"/>
                      <w:szCs w:val="21"/>
                    </w:rPr>
                    <w:drawing>
                      <wp:inline distT="0" distB="0" distL="0" distR="0" wp14:anchorId="7AE560BE" wp14:editId="4CBD5661">
                        <wp:extent cx="190500" cy="171450"/>
                        <wp:effectExtent l="0" t="0" r="0" b="0"/>
                        <wp:docPr id="12" name="Picture 1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r>
          </w:tbl>
          <w:p w14:paraId="77E1D2C9" w14:textId="77777777" w:rsidR="003333AC" w:rsidRPr="003333AC" w:rsidRDefault="003333AC" w:rsidP="003333AC">
            <w:pPr>
              <w:bidi/>
              <w:spacing w:after="0" w:line="240" w:lineRule="auto"/>
              <w:rPr>
                <w:rFonts w:ascii="Tahoma" w:eastAsia="Times New Roman" w:hAnsi="Tahoma" w:cs="Tahoma"/>
                <w:color w:val="333333"/>
                <w:sz w:val="21"/>
                <w:szCs w:val="21"/>
                <w:rtl/>
              </w:rPr>
            </w:pPr>
          </w:p>
        </w:tc>
      </w:tr>
      <w:tr w:rsidR="003333AC" w:rsidRPr="003333AC" w14:paraId="395FA828" w14:textId="77777777" w:rsidTr="003333AC">
        <w:trPr>
          <w:trHeight w:val="150"/>
          <w:tblCellSpacing w:w="0" w:type="dxa"/>
          <w:jc w:val="center"/>
        </w:trPr>
        <w:tc>
          <w:tcPr>
            <w:tcW w:w="0" w:type="auto"/>
            <w:vAlign w:val="center"/>
            <w:hideMark/>
          </w:tcPr>
          <w:p w14:paraId="63F14136" w14:textId="77777777" w:rsidR="003333AC" w:rsidRPr="003333AC" w:rsidRDefault="003333AC" w:rsidP="003333AC">
            <w:pPr>
              <w:bidi/>
              <w:spacing w:after="0" w:line="240" w:lineRule="auto"/>
              <w:rPr>
                <w:rFonts w:ascii="Times New Roman" w:eastAsia="Times New Roman" w:hAnsi="Times New Roman" w:cs="Times New Roman"/>
                <w:sz w:val="20"/>
                <w:szCs w:val="20"/>
              </w:rPr>
            </w:pPr>
          </w:p>
        </w:tc>
      </w:tr>
      <w:tr w:rsidR="003333AC" w:rsidRPr="003333AC" w14:paraId="40AAA83C" w14:textId="77777777" w:rsidTr="003B5F55">
        <w:trPr>
          <w:trHeight w:val="15"/>
          <w:tblCellSpacing w:w="0" w:type="dxa"/>
          <w:jc w:val="center"/>
        </w:trPr>
        <w:tc>
          <w:tcPr>
            <w:tcW w:w="0" w:type="auto"/>
            <w:shd w:val="clear" w:color="auto" w:fill="E6E4E4"/>
            <w:vAlign w:val="center"/>
          </w:tcPr>
          <w:p w14:paraId="25C2E3D2" w14:textId="77777777" w:rsidR="003333AC" w:rsidRPr="003333AC" w:rsidRDefault="003333AC" w:rsidP="003333AC">
            <w:pPr>
              <w:bidi/>
              <w:spacing w:after="0" w:line="240" w:lineRule="auto"/>
              <w:rPr>
                <w:rFonts w:ascii="Times New Roman" w:eastAsia="Times New Roman" w:hAnsi="Times New Roman" w:cs="Times New Roman"/>
                <w:sz w:val="20"/>
                <w:szCs w:val="20"/>
              </w:rPr>
            </w:pPr>
          </w:p>
        </w:tc>
      </w:tr>
      <w:tr w:rsidR="003333AC" w:rsidRPr="003333AC" w14:paraId="4C493EC8" w14:textId="77777777" w:rsidTr="003B5F55">
        <w:trPr>
          <w:trHeight w:val="150"/>
          <w:tblCellSpacing w:w="0" w:type="dxa"/>
          <w:jc w:val="center"/>
        </w:trPr>
        <w:tc>
          <w:tcPr>
            <w:tcW w:w="0" w:type="auto"/>
            <w:vAlign w:val="center"/>
          </w:tcPr>
          <w:p w14:paraId="6E04E16F" w14:textId="77777777" w:rsidR="003333AC" w:rsidRPr="003333AC" w:rsidRDefault="003333AC" w:rsidP="003333AC">
            <w:pPr>
              <w:bidi/>
              <w:spacing w:after="0" w:line="240" w:lineRule="auto"/>
              <w:rPr>
                <w:rFonts w:ascii="Times New Roman" w:eastAsia="Times New Roman" w:hAnsi="Times New Roman" w:cs="Times New Roman"/>
                <w:sz w:val="20"/>
                <w:szCs w:val="20"/>
              </w:rPr>
            </w:pPr>
          </w:p>
        </w:tc>
      </w:tr>
      <w:tr w:rsidR="003333AC" w:rsidRPr="003333AC" w14:paraId="11833665" w14:textId="77777777" w:rsidTr="003B5F55">
        <w:trPr>
          <w:tblCellSpacing w:w="0" w:type="dxa"/>
          <w:jc w:val="center"/>
        </w:trPr>
        <w:tc>
          <w:tcPr>
            <w:tcW w:w="0" w:type="auto"/>
            <w:vAlign w:val="center"/>
          </w:tcPr>
          <w:p w14:paraId="30FA6862" w14:textId="22773B49" w:rsidR="003333AC" w:rsidRPr="003333AC" w:rsidRDefault="003333AC" w:rsidP="003333AC">
            <w:pPr>
              <w:bidi/>
              <w:spacing w:after="0" w:line="240" w:lineRule="auto"/>
              <w:jc w:val="center"/>
              <w:rPr>
                <w:rFonts w:ascii="Tahoma" w:eastAsia="Times New Roman" w:hAnsi="Tahoma" w:cs="Tahoma"/>
                <w:color w:val="333333"/>
                <w:sz w:val="21"/>
                <w:szCs w:val="21"/>
              </w:rPr>
            </w:pPr>
          </w:p>
        </w:tc>
      </w:tr>
      <w:tr w:rsidR="003333AC" w:rsidRPr="003333AC" w14:paraId="00139912" w14:textId="77777777" w:rsidTr="003B5F55">
        <w:trPr>
          <w:trHeight w:val="150"/>
          <w:tblCellSpacing w:w="0" w:type="dxa"/>
          <w:jc w:val="center"/>
        </w:trPr>
        <w:tc>
          <w:tcPr>
            <w:tcW w:w="0" w:type="auto"/>
            <w:vAlign w:val="center"/>
          </w:tcPr>
          <w:p w14:paraId="71CA7C68" w14:textId="77777777" w:rsidR="003333AC" w:rsidRPr="003333AC" w:rsidRDefault="003333AC" w:rsidP="003333AC">
            <w:pPr>
              <w:bidi/>
              <w:spacing w:after="0" w:line="240" w:lineRule="auto"/>
              <w:jc w:val="center"/>
              <w:rPr>
                <w:rFonts w:ascii="Tahoma" w:eastAsia="Times New Roman" w:hAnsi="Tahoma" w:cs="Tahoma"/>
                <w:color w:val="333333"/>
                <w:sz w:val="21"/>
                <w:szCs w:val="21"/>
                <w:rtl/>
              </w:rPr>
            </w:pPr>
          </w:p>
        </w:tc>
      </w:tr>
      <w:tr w:rsidR="003333AC" w:rsidRPr="003333AC" w14:paraId="25B48212" w14:textId="77777777" w:rsidTr="003B5F55">
        <w:trPr>
          <w:tblCellSpacing w:w="0" w:type="dxa"/>
          <w:jc w:val="center"/>
        </w:trPr>
        <w:tc>
          <w:tcPr>
            <w:tcW w:w="0" w:type="auto"/>
            <w:vAlign w:val="center"/>
          </w:tcPr>
          <w:p w14:paraId="4026A5D4" w14:textId="11A3013E" w:rsidR="003333AC" w:rsidRPr="003333AC" w:rsidRDefault="003333AC" w:rsidP="003333AC">
            <w:pPr>
              <w:shd w:val="clear" w:color="auto" w:fill="25D366"/>
              <w:spacing w:after="0" w:line="480" w:lineRule="atLeast"/>
              <w:jc w:val="center"/>
              <w:textAlignment w:val="top"/>
              <w:rPr>
                <w:rFonts w:ascii="Verdana" w:eastAsia="Times New Roman" w:hAnsi="Verdana" w:cs="Tahoma"/>
                <w:color w:val="333333"/>
                <w:sz w:val="18"/>
                <w:szCs w:val="18"/>
              </w:rPr>
            </w:pPr>
          </w:p>
        </w:tc>
      </w:tr>
      <w:tr w:rsidR="003333AC" w:rsidRPr="003333AC" w14:paraId="179712F2" w14:textId="77777777" w:rsidTr="003333AC">
        <w:trPr>
          <w:trHeight w:val="150"/>
          <w:tblCellSpacing w:w="0" w:type="dxa"/>
          <w:jc w:val="center"/>
        </w:trPr>
        <w:tc>
          <w:tcPr>
            <w:tcW w:w="0" w:type="auto"/>
            <w:vAlign w:val="center"/>
            <w:hideMark/>
          </w:tcPr>
          <w:p w14:paraId="18EEAE07" w14:textId="77777777" w:rsidR="003333AC" w:rsidRPr="003333AC" w:rsidRDefault="003333AC" w:rsidP="003333AC">
            <w:pPr>
              <w:shd w:val="clear" w:color="auto" w:fill="25D366"/>
              <w:spacing w:after="0" w:line="480" w:lineRule="atLeast"/>
              <w:jc w:val="center"/>
              <w:textAlignment w:val="top"/>
              <w:rPr>
                <w:rFonts w:ascii="Verdana" w:eastAsia="Times New Roman" w:hAnsi="Verdana" w:cs="Tahoma"/>
                <w:color w:val="333333"/>
                <w:sz w:val="18"/>
                <w:szCs w:val="18"/>
              </w:rPr>
            </w:pPr>
          </w:p>
        </w:tc>
      </w:tr>
      <w:tr w:rsidR="003333AC" w:rsidRPr="003333AC" w14:paraId="3BE41199" w14:textId="77777777" w:rsidTr="003333AC">
        <w:trPr>
          <w:tblCellSpacing w:w="0" w:type="dxa"/>
          <w:jc w:val="center"/>
        </w:trPr>
        <w:tc>
          <w:tcPr>
            <w:tcW w:w="0" w:type="auto"/>
            <w:vAlign w:val="center"/>
            <w:hideMark/>
          </w:tcPr>
          <w:p w14:paraId="19BE7D92" w14:textId="77777777" w:rsidR="003333AC" w:rsidRPr="003333AC" w:rsidRDefault="003333AC" w:rsidP="003333AC">
            <w:pPr>
              <w:bidi/>
              <w:spacing w:after="0" w:line="240" w:lineRule="auto"/>
              <w:rPr>
                <w:rFonts w:ascii="Times New Roman" w:eastAsia="Times New Roman" w:hAnsi="Times New Roman" w:cs="Times New Roman"/>
                <w:sz w:val="20"/>
                <w:szCs w:val="20"/>
              </w:rPr>
            </w:pPr>
          </w:p>
        </w:tc>
      </w:tr>
      <w:tr w:rsidR="003333AC" w:rsidRPr="003333AC" w14:paraId="5933E836" w14:textId="77777777" w:rsidTr="003333AC">
        <w:trPr>
          <w:trHeight w:val="150"/>
          <w:tblCellSpacing w:w="0" w:type="dxa"/>
          <w:jc w:val="center"/>
        </w:trPr>
        <w:tc>
          <w:tcPr>
            <w:tcW w:w="0" w:type="auto"/>
            <w:vAlign w:val="center"/>
            <w:hideMark/>
          </w:tcPr>
          <w:p w14:paraId="3783DFF7" w14:textId="77777777" w:rsidR="003333AC" w:rsidRPr="003333AC" w:rsidRDefault="003333AC" w:rsidP="003333AC">
            <w:pPr>
              <w:bidi/>
              <w:spacing w:after="0" w:line="240" w:lineRule="auto"/>
              <w:jc w:val="center"/>
              <w:rPr>
                <w:rFonts w:ascii="Times New Roman" w:eastAsia="Times New Roman" w:hAnsi="Times New Roman" w:cs="Times New Roman"/>
                <w:sz w:val="20"/>
                <w:szCs w:val="20"/>
              </w:rPr>
            </w:pPr>
          </w:p>
        </w:tc>
      </w:tr>
      <w:tr w:rsidR="003333AC" w:rsidRPr="003333AC" w14:paraId="086F319B" w14:textId="77777777" w:rsidTr="003333AC">
        <w:trPr>
          <w:tblCellSpacing w:w="0" w:type="dxa"/>
          <w:jc w:val="center"/>
        </w:trPr>
        <w:tc>
          <w:tcPr>
            <w:tcW w:w="0" w:type="auto"/>
            <w:hideMark/>
          </w:tcPr>
          <w:tbl>
            <w:tblPr>
              <w:bidiVisual/>
              <w:tblW w:w="3900" w:type="dxa"/>
              <w:tblCellMar>
                <w:top w:w="15" w:type="dxa"/>
                <w:left w:w="15" w:type="dxa"/>
                <w:bottom w:w="15" w:type="dxa"/>
                <w:right w:w="15" w:type="dxa"/>
              </w:tblCellMar>
              <w:tblLook w:val="04A0" w:firstRow="1" w:lastRow="0" w:firstColumn="1" w:lastColumn="0" w:noHBand="0" w:noVBand="1"/>
            </w:tblPr>
            <w:tblGrid>
              <w:gridCol w:w="3900"/>
            </w:tblGrid>
            <w:tr w:rsidR="003333AC" w:rsidRPr="003333AC" w14:paraId="16792643" w14:textId="77777777">
              <w:tc>
                <w:tcPr>
                  <w:tcW w:w="0" w:type="auto"/>
                  <w:vAlign w:val="center"/>
                  <w:hideMark/>
                </w:tcPr>
                <w:tbl>
                  <w:tblPr>
                    <w:bidiVisual/>
                    <w:tblW w:w="5000" w:type="pct"/>
                    <w:tblCellSpacing w:w="0" w:type="dxa"/>
                    <w:tblCellMar>
                      <w:left w:w="0" w:type="dxa"/>
                      <w:right w:w="0" w:type="dxa"/>
                    </w:tblCellMar>
                    <w:tblLook w:val="04A0" w:firstRow="1" w:lastRow="0" w:firstColumn="1" w:lastColumn="0" w:noHBand="0" w:noVBand="1"/>
                  </w:tblPr>
                  <w:tblGrid>
                    <w:gridCol w:w="3870"/>
                  </w:tblGrid>
                  <w:tr w:rsidR="003333AC" w:rsidRPr="003333AC" w14:paraId="0357DA5C" w14:textId="77777777">
                    <w:trPr>
                      <w:tblCellSpacing w:w="0" w:type="dxa"/>
                    </w:trPr>
                    <w:tc>
                      <w:tcPr>
                        <w:tcW w:w="0" w:type="auto"/>
                        <w:vAlign w:val="center"/>
                        <w:hideMark/>
                      </w:tcPr>
                      <w:p w14:paraId="37604585" w14:textId="532A1CE3" w:rsidR="003333AC" w:rsidRPr="003333AC" w:rsidRDefault="003333AC" w:rsidP="003333AC">
                        <w:pPr>
                          <w:bidi/>
                          <w:spacing w:after="0" w:line="240" w:lineRule="auto"/>
                          <w:rPr>
                            <w:rFonts w:ascii="Times New Roman" w:eastAsia="Times New Roman" w:hAnsi="Times New Roman" w:cs="Times New Roman"/>
                            <w:sz w:val="24"/>
                            <w:szCs w:val="24"/>
                          </w:rPr>
                        </w:pPr>
                      </w:p>
                    </w:tc>
                  </w:tr>
                  <w:tr w:rsidR="003333AC" w:rsidRPr="003333AC" w14:paraId="025F3389" w14:textId="77777777">
                    <w:trPr>
                      <w:tblCellSpacing w:w="0" w:type="dxa"/>
                    </w:trPr>
                    <w:tc>
                      <w:tcPr>
                        <w:tcW w:w="0" w:type="auto"/>
                        <w:tcMar>
                          <w:top w:w="0" w:type="dxa"/>
                          <w:left w:w="150" w:type="dxa"/>
                          <w:bottom w:w="150" w:type="dxa"/>
                          <w:right w:w="150" w:type="dxa"/>
                        </w:tcMar>
                        <w:vAlign w:val="center"/>
                        <w:hideMark/>
                      </w:tcPr>
                      <w:p w14:paraId="5C60A322" w14:textId="77777777" w:rsidR="003333AC" w:rsidRPr="003333AC" w:rsidRDefault="00000000" w:rsidP="003333AC">
                        <w:pPr>
                          <w:bidi/>
                          <w:spacing w:after="0" w:line="240" w:lineRule="auto"/>
                          <w:rPr>
                            <w:rFonts w:ascii="Times New Roman" w:eastAsia="Times New Roman" w:hAnsi="Times New Roman" w:cs="Times New Roman"/>
                            <w:sz w:val="24"/>
                            <w:szCs w:val="24"/>
                          </w:rPr>
                        </w:pPr>
                        <w:hyperlink r:id="rId12" w:tgtFrame="_blank" w:history="1">
                          <w:r w:rsidR="003333AC" w:rsidRPr="003333AC">
                            <w:rPr>
                              <w:rFonts w:ascii="Times New Roman" w:eastAsia="Times New Roman" w:hAnsi="Times New Roman" w:cs="Times New Roman"/>
                              <w:b/>
                              <w:bCs/>
                              <w:color w:val="FFFFFF"/>
                              <w:sz w:val="21"/>
                              <w:szCs w:val="21"/>
                              <w:u w:val="single"/>
                              <w:rtl/>
                            </w:rPr>
                            <w:t>6 أسباب تدفعك للتوقف عن شرب الكولا.. ما هي؟</w:t>
                          </w:r>
                        </w:hyperlink>
                      </w:p>
                    </w:tc>
                  </w:tr>
                </w:tbl>
                <w:p w14:paraId="1948BCA1" w14:textId="77777777" w:rsidR="003333AC" w:rsidRPr="003333AC" w:rsidRDefault="003333AC" w:rsidP="003333AC">
                  <w:pPr>
                    <w:bidi/>
                    <w:spacing w:after="0" w:line="240" w:lineRule="auto"/>
                    <w:rPr>
                      <w:rFonts w:ascii="Times New Roman" w:eastAsia="Times New Roman" w:hAnsi="Times New Roman" w:cs="Times New Roman"/>
                      <w:sz w:val="24"/>
                      <w:szCs w:val="24"/>
                      <w:rtl/>
                    </w:rPr>
                  </w:pPr>
                </w:p>
              </w:tc>
            </w:tr>
          </w:tbl>
          <w:p w14:paraId="40BDA48B" w14:textId="77777777" w:rsidR="003333AC" w:rsidRPr="003333AC" w:rsidRDefault="003333AC" w:rsidP="003333AC">
            <w:pPr>
              <w:bidi/>
              <w:spacing w:after="0" w:line="450" w:lineRule="atLeast"/>
              <w:jc w:val="both"/>
              <w:rPr>
                <w:rFonts w:ascii="Tahoma" w:eastAsia="Times New Roman" w:hAnsi="Tahoma" w:cs="Tahoma"/>
                <w:vanish/>
                <w:color w:val="333333"/>
                <w:sz w:val="30"/>
                <w:szCs w:val="30"/>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818"/>
              <w:gridCol w:w="180"/>
              <w:gridCol w:w="2355"/>
            </w:tblGrid>
            <w:tr w:rsidR="003333AC" w:rsidRPr="003333AC" w14:paraId="444A2B18" w14:textId="77777777">
              <w:trPr>
                <w:tblCellSpacing w:w="15" w:type="dxa"/>
              </w:trPr>
              <w:tc>
                <w:tcPr>
                  <w:tcW w:w="0" w:type="auto"/>
                  <w:hideMark/>
                </w:tcPr>
                <w:p w14:paraId="465E37EC" w14:textId="77777777" w:rsidR="003333AC" w:rsidRPr="003333AC" w:rsidRDefault="003333AC" w:rsidP="003333AC">
                  <w:pPr>
                    <w:bidi/>
                    <w:spacing w:after="0" w:line="240" w:lineRule="auto"/>
                    <w:rPr>
                      <w:rFonts w:ascii="Times New Roman" w:eastAsia="Times New Roman" w:hAnsi="Times New Roman" w:cs="Times New Roman"/>
                      <w:sz w:val="24"/>
                      <w:szCs w:val="24"/>
                    </w:rPr>
                  </w:pPr>
                  <w:r w:rsidRPr="003333AC">
                    <w:rPr>
                      <w:rFonts w:ascii="Times New Roman" w:eastAsia="Times New Roman" w:hAnsi="Times New Roman" w:cs="Times New Roman"/>
                      <w:sz w:val="24"/>
                      <w:szCs w:val="24"/>
                      <w:rtl/>
                    </w:rPr>
                    <w:t>تابعنا عبر</w:t>
                  </w:r>
                </w:p>
              </w:tc>
              <w:tc>
                <w:tcPr>
                  <w:tcW w:w="150" w:type="dxa"/>
                  <w:hideMark/>
                </w:tcPr>
                <w:p w14:paraId="279420E4" w14:textId="77777777" w:rsidR="003333AC" w:rsidRPr="003333AC" w:rsidRDefault="003333AC" w:rsidP="003333AC">
                  <w:pPr>
                    <w:bidi/>
                    <w:spacing w:after="0" w:line="240" w:lineRule="auto"/>
                    <w:rPr>
                      <w:rFonts w:ascii="Times New Roman" w:eastAsia="Times New Roman" w:hAnsi="Times New Roman" w:cs="Times New Roman"/>
                      <w:sz w:val="24"/>
                      <w:szCs w:val="24"/>
                    </w:rPr>
                  </w:pPr>
                </w:p>
              </w:tc>
              <w:tc>
                <w:tcPr>
                  <w:tcW w:w="0" w:type="auto"/>
                  <w:vAlign w:val="center"/>
                  <w:hideMark/>
                </w:tcPr>
                <w:p w14:paraId="78BEA198" w14:textId="77777777" w:rsidR="003333AC" w:rsidRPr="003333AC" w:rsidRDefault="003333AC" w:rsidP="003333AC">
                  <w:pPr>
                    <w:bidi/>
                    <w:spacing w:after="0" w:line="240" w:lineRule="auto"/>
                    <w:rPr>
                      <w:rFonts w:ascii="Times New Roman" w:eastAsia="Times New Roman" w:hAnsi="Times New Roman" w:cs="Times New Roman"/>
                      <w:sz w:val="24"/>
                      <w:szCs w:val="24"/>
                    </w:rPr>
                  </w:pPr>
                  <w:r w:rsidRPr="003333AC">
                    <w:rPr>
                      <w:rFonts w:ascii="Times New Roman" w:eastAsia="Times New Roman" w:hAnsi="Times New Roman" w:cs="Times New Roman"/>
                      <w:noProof/>
                      <w:color w:val="333333"/>
                      <w:sz w:val="21"/>
                      <w:szCs w:val="21"/>
                    </w:rPr>
                    <mc:AlternateContent>
                      <mc:Choice Requires="wps">
                        <w:drawing>
                          <wp:inline distT="0" distB="0" distL="0" distR="0" wp14:anchorId="4C6F5FE4" wp14:editId="67BE8052">
                            <wp:extent cx="1447800" cy="1447800"/>
                            <wp:effectExtent l="0" t="0" r="0" b="0"/>
                            <wp:docPr id="3" name="Rectangle 3">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0"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689DBB" id="Rectangle 3" o:spid="_x0000_s1026" href="https://news.google.com/publications/CAAqBwgKMM34mQsw94KyAw" target="&quot;_blank&quot;" style="width:114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" o:button="t" filled="f" stroked="f">
                            <v:fill o:detectmouseclick="t"/>
                            <o:lock v:ext="edit" aspectratio="t"/>
                            <w10:anchorlock/>
                          </v:rect>
                        </w:pict>
                      </mc:Fallback>
                    </mc:AlternateContent>
                  </w:r>
                </w:p>
              </w:tc>
            </w:tr>
          </w:tbl>
          <w:p w14:paraId="399D7711" w14:textId="1AFD7B2B" w:rsidR="003333AC" w:rsidRPr="003B5F55" w:rsidRDefault="003333AC" w:rsidP="003B5F55">
            <w:pPr>
              <w:shd w:val="clear" w:color="auto" w:fill="ADD8E6"/>
              <w:bidi/>
              <w:spacing w:before="100" w:beforeAutospacing="1" w:after="100" w:afterAutospacing="1" w:line="450" w:lineRule="atLeast"/>
              <w:rPr>
                <w:rFonts w:ascii="Tahoma" w:eastAsia="Times New Roman" w:hAnsi="Tahoma" w:cs="Tahoma"/>
                <w:color w:val="000000"/>
                <w:sz w:val="30"/>
                <w:szCs w:val="30"/>
                <w:rtl/>
              </w:rPr>
            </w:pPr>
          </w:p>
          <w:p w14:paraId="68ED945A" w14:textId="77777777" w:rsidR="003333AC" w:rsidRPr="003333AC" w:rsidRDefault="003333AC" w:rsidP="003333AC">
            <w:pPr>
              <w:bidi/>
              <w:spacing w:after="0" w:line="450" w:lineRule="atLeast"/>
              <w:jc w:val="both"/>
              <w:rPr>
                <w:rFonts w:ascii="Tahoma" w:eastAsia="Times New Roman" w:hAnsi="Tahoma" w:cs="Tahoma"/>
                <w:color w:val="333333"/>
                <w:sz w:val="30"/>
                <w:szCs w:val="30"/>
                <w:rtl/>
              </w:rPr>
            </w:pPr>
            <w:r w:rsidRPr="003333AC">
              <w:rPr>
                <w:rFonts w:ascii="Tahoma" w:eastAsia="Times New Roman" w:hAnsi="Tahoma" w:cs="Tahoma"/>
                <w:color w:val="333333"/>
                <w:sz w:val="30"/>
                <w:szCs w:val="30"/>
                <w:rtl/>
              </w:rPr>
              <w:t>#الثائر</w:t>
            </w:r>
            <w:r w:rsidRPr="003333AC">
              <w:rPr>
                <w:rFonts w:ascii="Tahoma" w:eastAsia="Times New Roman" w:hAnsi="Tahoma" w:cs="Tahoma"/>
                <w:color w:val="333333"/>
                <w:sz w:val="30"/>
                <w:szCs w:val="30"/>
                <w:rtl/>
              </w:rPr>
              <w:br/>
            </w:r>
            <w:r w:rsidRPr="003333AC">
              <w:rPr>
                <w:rFonts w:ascii="Tahoma" w:eastAsia="Times New Roman" w:hAnsi="Tahoma" w:cs="Tahoma"/>
                <w:color w:val="333333"/>
                <w:sz w:val="30"/>
                <w:szCs w:val="30"/>
                <w:rtl/>
              </w:rPr>
              <w:br/>
            </w:r>
            <w:r w:rsidRPr="003333AC">
              <w:rPr>
                <w:rFonts w:ascii="Tahoma" w:eastAsia="Times New Roman" w:hAnsi="Tahoma" w:cs="Tahoma"/>
                <w:color w:val="333333"/>
                <w:sz w:val="30"/>
                <w:szCs w:val="30"/>
                <w:rtl/>
              </w:rPr>
              <w:br/>
            </w:r>
            <w:r w:rsidRPr="003333AC">
              <w:rPr>
                <w:rFonts w:ascii="Tahoma" w:eastAsia="Times New Roman" w:hAnsi="Tahoma" w:cs="Tahoma"/>
                <w:color w:val="333333"/>
                <w:sz w:val="30"/>
                <w:szCs w:val="30"/>
                <w:rtl/>
              </w:rPr>
              <w:br/>
              <w:t>- " </w:t>
            </w:r>
            <w:hyperlink r:id="rId14" w:history="1">
              <w:r w:rsidRPr="003333AC">
                <w:rPr>
                  <w:rFonts w:ascii="Tahoma" w:eastAsia="Times New Roman" w:hAnsi="Tahoma" w:cs="Tahoma"/>
                  <w:color w:val="E3101B"/>
                  <w:sz w:val="38"/>
                  <w:szCs w:val="38"/>
                  <w:u w:val="single"/>
                  <w:rtl/>
                </w:rPr>
                <w:t>اكرم كمال سريوي</w:t>
              </w:r>
            </w:hyperlink>
            <w:r w:rsidRPr="003333AC">
              <w:rPr>
                <w:rFonts w:ascii="Tahoma" w:eastAsia="Times New Roman" w:hAnsi="Tahoma" w:cs="Tahoma"/>
                <w:color w:val="333333"/>
                <w:sz w:val="30"/>
                <w:szCs w:val="30"/>
                <w:rtl/>
              </w:rPr>
              <w:t> "</w:t>
            </w:r>
            <w:r w:rsidRPr="003333AC">
              <w:rPr>
                <w:rFonts w:ascii="Tahoma" w:eastAsia="Times New Roman" w:hAnsi="Tahoma" w:cs="Tahoma"/>
                <w:color w:val="333333"/>
                <w:sz w:val="30"/>
                <w:szCs w:val="30"/>
                <w:rtl/>
              </w:rPr>
              <w:br/>
            </w:r>
            <w:r w:rsidRPr="003333AC">
              <w:rPr>
                <w:rFonts w:ascii="Tahoma" w:eastAsia="Times New Roman" w:hAnsi="Tahoma" w:cs="Tahoma"/>
                <w:color w:val="333333"/>
                <w:sz w:val="30"/>
                <w:szCs w:val="30"/>
                <w:rtl/>
              </w:rPr>
              <w:br/>
            </w:r>
            <w:r w:rsidRPr="003333AC">
              <w:rPr>
                <w:rFonts w:ascii="Tahoma" w:eastAsia="Times New Roman" w:hAnsi="Tahoma" w:cs="Tahoma"/>
                <w:color w:val="333333"/>
                <w:sz w:val="30"/>
                <w:szCs w:val="30"/>
                <w:rtl/>
              </w:rPr>
              <w:br/>
              <w:t xml:space="preserve">وفقاً لنصوص الدستور، هناك فرق بين مصطلحي؛ الحكومة، ومجلس الوزراء. وسيستحيل على حكومة تصريف الأعمال، أن تمارس صلاحيات رئيس الجمهورية، إذا حصل شغور في سدة الرئاسة، لأن رؤساء الحكومات، رفضوا ويرفضون عقد جلسات لحكومة تصريف الأعمال، أي انهم يرفضون انعقاد مجلس الوزراء، الذي يحق له وحده ممارسة صلاحيات رئيس الجمهورية، ولذلك لا بد من انتخاب رئيس جديد للبلاد، أو إصدار مرسوم تشكيل حكومة جديدة، قبل انتهاء عهد الرئيس ميشال عون، وإلا </w:t>
            </w:r>
            <w:r w:rsidRPr="003333AC">
              <w:rPr>
                <w:rFonts w:ascii="Tahoma" w:eastAsia="Times New Roman" w:hAnsi="Tahoma" w:cs="Tahoma"/>
                <w:color w:val="333333"/>
                <w:sz w:val="30"/>
                <w:szCs w:val="30"/>
                <w:rtl/>
              </w:rPr>
              <w:lastRenderedPageBreak/>
              <w:t>سندخل في الفراغ الكبير.</w:t>
            </w:r>
            <w:r w:rsidRPr="003333AC">
              <w:rPr>
                <w:rFonts w:ascii="Tahoma" w:eastAsia="Times New Roman" w:hAnsi="Tahoma" w:cs="Tahoma"/>
                <w:color w:val="333333"/>
                <w:sz w:val="30"/>
                <w:szCs w:val="30"/>
                <w:rtl/>
              </w:rPr>
              <w:br/>
              <w:t>وإليكم التفاصيل بكل وضوح كما وردت في الدستور.</w:t>
            </w:r>
            <w:r w:rsidRPr="003333AC">
              <w:rPr>
                <w:rFonts w:ascii="Tahoma" w:eastAsia="Times New Roman" w:hAnsi="Tahoma" w:cs="Tahoma"/>
                <w:color w:val="333333"/>
                <w:sz w:val="30"/>
                <w:szCs w:val="30"/>
                <w:rtl/>
              </w:rPr>
              <w:br/>
            </w:r>
            <w:r w:rsidRPr="003333AC">
              <w:rPr>
                <w:rFonts w:ascii="Tahoma" w:eastAsia="Times New Roman" w:hAnsi="Tahoma" w:cs="Tahoma"/>
                <w:color w:val="333333"/>
                <w:sz w:val="30"/>
                <w:szCs w:val="30"/>
                <w:rtl/>
              </w:rPr>
              <w:br/>
              <w:t>من الطبيعي أن يحصل جدل قانوني أو دستوري، عندما يكون النص غامضاً، لكن غريب جداً أن يضيع رجال السياسة وفقهاء القانون، في هذا الجدل أذا كان النص واضحاً.</w:t>
            </w:r>
            <w:r w:rsidRPr="003333AC">
              <w:rPr>
                <w:rFonts w:ascii="Tahoma" w:eastAsia="Times New Roman" w:hAnsi="Tahoma" w:cs="Tahoma"/>
                <w:color w:val="333333"/>
                <w:sz w:val="30"/>
                <w:szCs w:val="30"/>
                <w:rtl/>
              </w:rPr>
              <w:br/>
            </w:r>
            <w:r w:rsidRPr="003333AC">
              <w:rPr>
                <w:rFonts w:ascii="Tahoma" w:eastAsia="Times New Roman" w:hAnsi="Tahoma" w:cs="Tahoma"/>
                <w:color w:val="333333"/>
                <w:sz w:val="30"/>
                <w:szCs w:val="30"/>
                <w:rtl/>
              </w:rPr>
              <w:br/>
            </w:r>
            <w:r w:rsidRPr="003333AC">
              <w:rPr>
                <w:rFonts w:ascii="Tahoma" w:eastAsia="Times New Roman" w:hAnsi="Tahoma" w:cs="Tahoma"/>
                <w:color w:val="333333"/>
                <w:sz w:val="30"/>
                <w:szCs w:val="30"/>
                <w:rtl/>
              </w:rPr>
              <w:br/>
            </w:r>
            <w:r w:rsidRPr="003333AC">
              <w:rPr>
                <w:rFonts w:ascii="Tahoma" w:eastAsia="Times New Roman" w:hAnsi="Tahoma" w:cs="Tahoma"/>
                <w:b/>
                <w:bCs/>
                <w:color w:val="333333"/>
                <w:sz w:val="30"/>
                <w:szCs w:val="30"/>
                <w:rtl/>
              </w:rPr>
              <w:t>تنص المادة ٦٢ من الدستور: في حال خلو سدة الرئاسة لأي علة كانت، تناط صلاحیات رئیس الجمهوریة وكالة بمجلس الوزراء.</w:t>
            </w:r>
          </w:p>
          <w:p w14:paraId="7D611DFA" w14:textId="77777777" w:rsidR="003333AC" w:rsidRPr="003333AC" w:rsidRDefault="003333AC" w:rsidP="003333AC">
            <w:pPr>
              <w:bidi/>
              <w:spacing w:after="0" w:line="450" w:lineRule="atLeast"/>
              <w:jc w:val="both"/>
              <w:rPr>
                <w:rFonts w:ascii="Tahoma" w:eastAsia="Times New Roman" w:hAnsi="Tahoma" w:cs="Tahoma"/>
                <w:color w:val="333333"/>
                <w:sz w:val="30"/>
                <w:szCs w:val="30"/>
                <w:rtl/>
              </w:rPr>
            </w:pPr>
            <w:r w:rsidRPr="003333AC">
              <w:rPr>
                <w:rFonts w:ascii="Tahoma" w:eastAsia="Times New Roman" w:hAnsi="Tahoma" w:cs="Tahoma"/>
                <w:color w:val="333333"/>
                <w:sz w:val="30"/>
                <w:szCs w:val="30"/>
                <w:rtl/>
              </w:rPr>
              <w:br/>
            </w:r>
            <w:r w:rsidRPr="003333AC">
              <w:rPr>
                <w:rFonts w:ascii="Tahoma" w:eastAsia="Times New Roman" w:hAnsi="Tahoma" w:cs="Tahoma"/>
                <w:color w:val="333333"/>
                <w:sz w:val="30"/>
                <w:szCs w:val="30"/>
                <w:rtl/>
              </w:rPr>
              <w:br/>
              <w:t>قال عدد كبير من فقهاء القانون وكذلك رئيس حكومة تصريف الأعمال نجيب ميقاتي، أن الدستور واضح، وهو لم يفرّق ما اذا كانت الحكومة عادية أم حكومة تصريف أعمال، (وهذا صحيح) وبالتالي يمكن لحكومة تصريف الأعمال استلام صلاحيات رئيس الجمهورية، في حال حصول شغور في سدة الرئاسة.</w:t>
            </w:r>
            <w:r w:rsidRPr="003333AC">
              <w:rPr>
                <w:rFonts w:ascii="Tahoma" w:eastAsia="Times New Roman" w:hAnsi="Tahoma" w:cs="Tahoma"/>
                <w:color w:val="333333"/>
                <w:sz w:val="30"/>
                <w:szCs w:val="30"/>
                <w:rtl/>
              </w:rPr>
              <w:br/>
            </w:r>
            <w:r w:rsidRPr="003333AC">
              <w:rPr>
                <w:rFonts w:ascii="Tahoma" w:eastAsia="Times New Roman" w:hAnsi="Tahoma" w:cs="Tahoma"/>
                <w:color w:val="333333"/>
                <w:sz w:val="30"/>
                <w:szCs w:val="30"/>
                <w:rtl/>
              </w:rPr>
              <w:br/>
              <w:t>صحيح أن الدستور لم يستثنِ حكومة تصريف الأعمال، لكن المسألة هي أن الدستور ينص على إناطة الصلاحيات بمجلس الوزراء، وليس بالحكومة، والفارق بينهما كبير .</w:t>
            </w:r>
            <w:r w:rsidRPr="003333AC">
              <w:rPr>
                <w:rFonts w:ascii="Tahoma" w:eastAsia="Times New Roman" w:hAnsi="Tahoma" w:cs="Tahoma"/>
                <w:color w:val="333333"/>
                <w:sz w:val="30"/>
                <w:szCs w:val="30"/>
                <w:rtl/>
              </w:rPr>
              <w:br/>
            </w:r>
            <w:r w:rsidRPr="003333AC">
              <w:rPr>
                <w:rFonts w:ascii="Tahoma" w:eastAsia="Times New Roman" w:hAnsi="Tahoma" w:cs="Tahoma"/>
                <w:color w:val="333333"/>
                <w:sz w:val="30"/>
                <w:szCs w:val="30"/>
                <w:rtl/>
              </w:rPr>
              <w:br/>
            </w:r>
            <w:r w:rsidRPr="003333AC">
              <w:rPr>
                <w:rFonts w:ascii="Tahoma" w:eastAsia="Times New Roman" w:hAnsi="Tahoma" w:cs="Tahoma"/>
                <w:b/>
                <w:bCs/>
                <w:color w:val="333333"/>
                <w:sz w:val="30"/>
                <w:szCs w:val="30"/>
                <w:rtl/>
              </w:rPr>
              <w:t>عندما تحدّث الدستور عن تشكيل السلطة الإجرائية، نص صراحة على تشكيل الحكومة، وذكر في المادة ٥٢:</w:t>
            </w:r>
            <w:r w:rsidRPr="003333AC">
              <w:rPr>
                <w:rFonts w:ascii="Tahoma" w:eastAsia="Times New Roman" w:hAnsi="Tahoma" w:cs="Tahoma"/>
                <w:b/>
                <w:bCs/>
                <w:color w:val="333333"/>
                <w:sz w:val="30"/>
                <w:szCs w:val="30"/>
                <w:rtl/>
              </w:rPr>
              <w:br/>
              <w:t>١- يترأس رئيس الجمهورية مجلس الوزراء عندما يشاء دون أن يشارك في التصويت.</w:t>
            </w:r>
            <w:r w:rsidRPr="003333AC">
              <w:rPr>
                <w:rFonts w:ascii="Tahoma" w:eastAsia="Times New Roman" w:hAnsi="Tahoma" w:cs="Tahoma"/>
                <w:b/>
                <w:bCs/>
                <w:color w:val="333333"/>
                <w:sz w:val="30"/>
                <w:szCs w:val="30"/>
                <w:rtl/>
              </w:rPr>
              <w:br/>
              <w:t xml:space="preserve">٢- يُسمّي رئيس الجمهورية رئيس الحكومة المكلّف، بالتشاور مع رئيس مجلس النواب، استناداً إلى استشارات نيابية ملزمة، </w:t>
            </w:r>
            <w:r w:rsidRPr="003333AC">
              <w:rPr>
                <w:rFonts w:ascii="Tahoma" w:eastAsia="Times New Roman" w:hAnsi="Tahoma" w:cs="Tahoma"/>
                <w:b/>
                <w:bCs/>
                <w:color w:val="333333"/>
                <w:sz w:val="30"/>
                <w:szCs w:val="30"/>
                <w:rtl/>
              </w:rPr>
              <w:lastRenderedPageBreak/>
              <w:t>يُطلعه رسمياً على نتائجها.</w:t>
            </w:r>
            <w:r w:rsidRPr="003333AC">
              <w:rPr>
                <w:rFonts w:ascii="Tahoma" w:eastAsia="Times New Roman" w:hAnsi="Tahoma" w:cs="Tahoma"/>
                <w:color w:val="333333"/>
                <w:sz w:val="30"/>
                <w:szCs w:val="30"/>
                <w:rtl/>
              </w:rPr>
              <w:br/>
            </w:r>
            <w:r w:rsidRPr="003333AC">
              <w:rPr>
                <w:rFonts w:ascii="Tahoma" w:eastAsia="Times New Roman" w:hAnsi="Tahoma" w:cs="Tahoma"/>
                <w:color w:val="333333"/>
                <w:sz w:val="30"/>
                <w:szCs w:val="30"/>
                <w:rtl/>
              </w:rPr>
              <w:br/>
              <w:t>هنا يجب ملاحظة الفرق الذي أراده المشرّع، بين المقصود بالحكومة والمقصود بمجلس الوزراء. فرئيس الجمهورية له الحق في أن يرأس مجلس الوزراء، ولا يحق له أن يرأس الحكومة.</w:t>
            </w:r>
          </w:p>
          <w:p w14:paraId="11C8057F" w14:textId="77777777" w:rsidR="003333AC" w:rsidRPr="003333AC" w:rsidRDefault="003333AC" w:rsidP="003333AC">
            <w:pPr>
              <w:bidi/>
              <w:spacing w:after="0" w:line="450" w:lineRule="atLeast"/>
              <w:jc w:val="both"/>
              <w:rPr>
                <w:rFonts w:ascii="Tahoma" w:eastAsia="Times New Roman" w:hAnsi="Tahoma" w:cs="Tahoma"/>
                <w:color w:val="333333"/>
                <w:sz w:val="30"/>
                <w:szCs w:val="30"/>
                <w:rtl/>
              </w:rPr>
            </w:pPr>
            <w:r w:rsidRPr="003333AC">
              <w:rPr>
                <w:rFonts w:ascii="Tahoma" w:eastAsia="Times New Roman" w:hAnsi="Tahoma" w:cs="Tahoma"/>
                <w:color w:val="333333"/>
                <w:sz w:val="30"/>
                <w:szCs w:val="30"/>
                <w:rtl/>
              </w:rPr>
              <w:br/>
              <w:t>والرئيس المكلّف يقدّم لرئيس الجمهورية، تشكيلة حكومية، ويتم إصدار مرسوم تشكيل الحكومة، فالحكومة تضم كافة الوزراء الذين تُدرج أسماؤهم في مرسوم التشكيل.</w:t>
            </w:r>
            <w:r w:rsidRPr="003333AC">
              <w:rPr>
                <w:rFonts w:ascii="Tahoma" w:eastAsia="Times New Roman" w:hAnsi="Tahoma" w:cs="Tahoma"/>
                <w:color w:val="333333"/>
                <w:sz w:val="30"/>
                <w:szCs w:val="30"/>
                <w:rtl/>
              </w:rPr>
              <w:br/>
              <w:t>ونصت المادة ٦٤ على: أن رئيس الحكومة يدعو مجلس الوزراء إلى الانعقاد، ولم تقل يدعو الحكومة.</w:t>
            </w:r>
            <w:r w:rsidRPr="003333AC">
              <w:rPr>
                <w:rFonts w:ascii="Tahoma" w:eastAsia="Times New Roman" w:hAnsi="Tahoma" w:cs="Tahoma"/>
                <w:color w:val="333333"/>
                <w:sz w:val="30"/>
                <w:szCs w:val="30"/>
                <w:rtl/>
              </w:rPr>
              <w:br/>
            </w:r>
            <w:r w:rsidRPr="003333AC">
              <w:rPr>
                <w:rFonts w:ascii="Tahoma" w:eastAsia="Times New Roman" w:hAnsi="Tahoma" w:cs="Tahoma"/>
                <w:color w:val="333333"/>
                <w:sz w:val="30"/>
                <w:szCs w:val="30"/>
                <w:rtl/>
              </w:rPr>
              <w:br/>
            </w:r>
            <w:r w:rsidRPr="003333AC">
              <w:rPr>
                <w:rFonts w:ascii="Tahoma" w:eastAsia="Times New Roman" w:hAnsi="Tahoma" w:cs="Tahoma"/>
                <w:b/>
                <w:bCs/>
                <w:color w:val="333333"/>
                <w:sz w:val="30"/>
                <w:szCs w:val="30"/>
                <w:rtl/>
              </w:rPr>
              <w:t>أما المادة ٦٥ من الدستور فهي أناطت السلطة الإجرائية بمجلس الوزراء، ونصت على: اجتماعه دورياً في مقر خاص، وحددت النصاب القانوني لاجتماعات المجلس بحضور ثلثي أعضائه.</w:t>
            </w:r>
            <w:r w:rsidRPr="003333AC">
              <w:rPr>
                <w:rFonts w:ascii="Tahoma" w:eastAsia="Times New Roman" w:hAnsi="Tahoma" w:cs="Tahoma"/>
                <w:color w:val="333333"/>
                <w:sz w:val="30"/>
                <w:szCs w:val="30"/>
                <w:rtl/>
              </w:rPr>
              <w:br/>
            </w:r>
            <w:r w:rsidRPr="003333AC">
              <w:rPr>
                <w:rFonts w:ascii="Tahoma" w:eastAsia="Times New Roman" w:hAnsi="Tahoma" w:cs="Tahoma"/>
                <w:color w:val="333333"/>
                <w:sz w:val="30"/>
                <w:szCs w:val="30"/>
                <w:rtl/>
              </w:rPr>
              <w:br/>
              <w:t>يتضح من نصوص هذه المواد أن المقصود بمجلس الوزراء، هو عندما تجتمع الحكومة في مقرها، أو في القصر الجمهوري، بكامل أعضائها، أو بحضور غالبية ثلثي الأعضاء، أي أن مجلس الوزراء يعني حصراً حالة اجتماع الحكومة، (أكانت مكتملة أم فقط بحضور ثلثي الأعضاء) لمناقشة جدول الأعمال، وهو بذلك يختلف عن الحكومة التي تتحول إلى مجلس وزراء، في حال انعقاد جلسة للمجلس فقط.</w:t>
            </w:r>
            <w:r w:rsidRPr="003333AC">
              <w:rPr>
                <w:rFonts w:ascii="Tahoma" w:eastAsia="Times New Roman" w:hAnsi="Tahoma" w:cs="Tahoma"/>
                <w:color w:val="333333"/>
                <w:sz w:val="30"/>
                <w:szCs w:val="30"/>
                <w:rtl/>
              </w:rPr>
              <w:br/>
            </w:r>
            <w:r w:rsidRPr="003333AC">
              <w:rPr>
                <w:rFonts w:ascii="Tahoma" w:eastAsia="Times New Roman" w:hAnsi="Tahoma" w:cs="Tahoma"/>
                <w:color w:val="333333"/>
                <w:sz w:val="30"/>
                <w:szCs w:val="30"/>
                <w:rtl/>
              </w:rPr>
              <w:br/>
              <w:t>إن عدة رؤساء حكومات سابقين؛ (فؤاد السنيورة، وسعد الحريري، وحسان دياب)، وكذلك الرئيس </w:t>
            </w:r>
            <w:hyperlink r:id="rId15" w:history="1">
              <w:r w:rsidRPr="003333AC">
                <w:rPr>
                  <w:rFonts w:ascii="Tahoma" w:eastAsia="Times New Roman" w:hAnsi="Tahoma" w:cs="Tahoma"/>
                  <w:color w:val="E3101B"/>
                  <w:sz w:val="38"/>
                  <w:szCs w:val="38"/>
                  <w:u w:val="single"/>
                  <w:rtl/>
                </w:rPr>
                <w:t>نجيب ميقاتي</w:t>
              </w:r>
            </w:hyperlink>
            <w:r w:rsidRPr="003333AC">
              <w:rPr>
                <w:rFonts w:ascii="Tahoma" w:eastAsia="Times New Roman" w:hAnsi="Tahoma" w:cs="Tahoma"/>
                <w:color w:val="333333"/>
                <w:sz w:val="30"/>
                <w:szCs w:val="30"/>
                <w:rtl/>
              </w:rPr>
              <w:t xml:space="preserve"> ، رفضوا فكرة عقد حكومات تصريف الأعمال، جلسات لمجلس الوزراء، باعتبار أن حكومة تصريف الأعمال، تقوم بتصريف الأعمال بالحد الأدنى لاستمرار المرفق العام، ولا يحق لها إلزام الحكومة اللاحقة، بأي قرار أو إجراء طويل الأمد، وعندما </w:t>
            </w:r>
            <w:r w:rsidRPr="003333AC">
              <w:rPr>
                <w:rFonts w:ascii="Tahoma" w:eastAsia="Times New Roman" w:hAnsi="Tahoma" w:cs="Tahoma"/>
                <w:color w:val="333333"/>
                <w:sz w:val="30"/>
                <w:szCs w:val="30"/>
                <w:rtl/>
              </w:rPr>
              <w:lastRenderedPageBreak/>
              <w:t>طالب بعض السياسيين، الرئيس السابق للحكومة حسان دياب، بالدعوة إلى اجتماع لمجلس الوزراء (عندما كانت حكومته تقوم بتصريف الأعمال)، رفض ذلك، وأيّده في موقفه هذا، نادي رؤساء الحكومات السابقين.</w:t>
            </w:r>
          </w:p>
          <w:p w14:paraId="41878E69" w14:textId="77777777" w:rsidR="003333AC" w:rsidRPr="003333AC" w:rsidRDefault="003333AC" w:rsidP="003333AC">
            <w:pPr>
              <w:bidi/>
              <w:spacing w:after="0" w:line="450" w:lineRule="atLeast"/>
              <w:jc w:val="both"/>
              <w:rPr>
                <w:rFonts w:ascii="Tahoma" w:eastAsia="Times New Roman" w:hAnsi="Tahoma" w:cs="Tahoma"/>
                <w:color w:val="333333"/>
                <w:sz w:val="30"/>
                <w:szCs w:val="30"/>
                <w:rtl/>
              </w:rPr>
            </w:pPr>
            <w:r w:rsidRPr="003333AC">
              <w:rPr>
                <w:rFonts w:ascii="Tahoma" w:eastAsia="Times New Roman" w:hAnsi="Tahoma" w:cs="Tahoma"/>
                <w:color w:val="333333"/>
                <w:sz w:val="30"/>
                <w:szCs w:val="30"/>
                <w:rtl/>
              </w:rPr>
              <w:br/>
            </w:r>
            <w:r w:rsidRPr="003333AC">
              <w:rPr>
                <w:rFonts w:ascii="Tahoma" w:eastAsia="Times New Roman" w:hAnsi="Tahoma" w:cs="Tahoma"/>
                <w:color w:val="333333"/>
                <w:sz w:val="30"/>
                <w:szCs w:val="30"/>
                <w:rtl/>
              </w:rPr>
              <w:br/>
              <w:t>إذا كانت حكومة تصريف الأعمال لا يمكنها أن تجتمع، فهذا يعني أنه في هذه الحالة، لا وجود لمجلس الوزراء، الذي يجب أن تنتقل إليه صلاحيات رئيس الجمهورية، في حال حصول شغور في سدة الرئاسة.</w:t>
            </w:r>
            <w:r w:rsidRPr="003333AC">
              <w:rPr>
                <w:rFonts w:ascii="Tahoma" w:eastAsia="Times New Roman" w:hAnsi="Tahoma" w:cs="Tahoma"/>
                <w:color w:val="333333"/>
                <w:sz w:val="30"/>
                <w:szCs w:val="30"/>
                <w:rtl/>
              </w:rPr>
              <w:br/>
              <w:t>وإذا كان الرئيس ميقاتي يرفض الآن دعوة الحكومة للاجتماع، بحجة أنها حكومة تصريف أعمال، فكيف يمكن أن تمارس حكومته (التي لن تجتمع) صلاحيات رئيس الجمهورية، في حال عدم انتخاب رئيس جديد، قبل أنتهاء عهد الرئيس الحالي </w:t>
            </w:r>
            <w:hyperlink r:id="rId16" w:history="1">
              <w:r w:rsidRPr="003333AC">
                <w:rPr>
                  <w:rFonts w:ascii="Tahoma" w:eastAsia="Times New Roman" w:hAnsi="Tahoma" w:cs="Tahoma"/>
                  <w:color w:val="E3101B"/>
                  <w:sz w:val="38"/>
                  <w:szCs w:val="38"/>
                  <w:u w:val="single"/>
                  <w:rtl/>
                </w:rPr>
                <w:t>ميشال عون</w:t>
              </w:r>
            </w:hyperlink>
            <w:r w:rsidRPr="003333AC">
              <w:rPr>
                <w:rFonts w:ascii="Tahoma" w:eastAsia="Times New Roman" w:hAnsi="Tahoma" w:cs="Tahoma"/>
                <w:color w:val="333333"/>
                <w:sz w:val="30"/>
                <w:szCs w:val="30"/>
                <w:rtl/>
              </w:rPr>
              <w:t> ، وحصول خلو سدة الرئاسة بعد انتهاء ولايته؟؟؟</w:t>
            </w:r>
            <w:r w:rsidRPr="003333AC">
              <w:rPr>
                <w:rFonts w:ascii="Tahoma" w:eastAsia="Times New Roman" w:hAnsi="Tahoma" w:cs="Tahoma"/>
                <w:color w:val="333333"/>
                <w:sz w:val="30"/>
                <w:szCs w:val="30"/>
                <w:rtl/>
              </w:rPr>
              <w:br/>
            </w:r>
            <w:r w:rsidRPr="003333AC">
              <w:rPr>
                <w:rFonts w:ascii="Tahoma" w:eastAsia="Times New Roman" w:hAnsi="Tahoma" w:cs="Tahoma"/>
                <w:color w:val="333333"/>
                <w:sz w:val="30"/>
                <w:szCs w:val="30"/>
                <w:rtl/>
              </w:rPr>
              <w:br/>
              <w:t>كان المشرّع دقيقاً وحريصاً جداً في نصوص الدستور، فهو مثلاً عندما عدد في المادة ٦٩ من الدستور الحالات التي تصبح فيها الحكومة، حكومة مستقيلة أو بحكم المستقيلة، وتتحول إلى حكومة تصريف أعمال، ذكر في البند- د - "عند بدء ولاية رئيس الجمهورية". ولم يذكر أنها تتحول إلى حكومة تصريف أعمال، عند انتهاء ولاية رئيس الجمهورية، والهدف من ذلك واضح، وهو الإبقاء على الحكومة بكامل مواصفاتها، في حال خلو سدة الرئاسة بانتهاء ولاية الرئيس، كي تتمكن من عقد اجتماعات عادية لمجلس الوزراء، الذي تنتقل إليه حكماً، صلاحيات رئيس الجمهورية.</w:t>
            </w:r>
            <w:r w:rsidRPr="003333AC">
              <w:rPr>
                <w:rFonts w:ascii="Tahoma" w:eastAsia="Times New Roman" w:hAnsi="Tahoma" w:cs="Tahoma"/>
                <w:color w:val="333333"/>
                <w:sz w:val="30"/>
                <w:szCs w:val="30"/>
                <w:rtl/>
              </w:rPr>
              <w:br/>
            </w:r>
            <w:r w:rsidRPr="003333AC">
              <w:rPr>
                <w:rFonts w:ascii="Tahoma" w:eastAsia="Times New Roman" w:hAnsi="Tahoma" w:cs="Tahoma"/>
                <w:color w:val="333333"/>
                <w:sz w:val="30"/>
                <w:szCs w:val="30"/>
                <w:rtl/>
              </w:rPr>
              <w:br/>
              <w:t>لهذه الأسباب يستحيل على حكومة الرئيس </w:t>
            </w:r>
            <w:hyperlink r:id="rId17" w:history="1">
              <w:r w:rsidRPr="003333AC">
                <w:rPr>
                  <w:rFonts w:ascii="Tahoma" w:eastAsia="Times New Roman" w:hAnsi="Tahoma" w:cs="Tahoma"/>
                  <w:color w:val="E3101B"/>
                  <w:sz w:val="38"/>
                  <w:szCs w:val="38"/>
                  <w:u w:val="single"/>
                  <w:rtl/>
                </w:rPr>
                <w:t>نجيب ميقاتي</w:t>
              </w:r>
            </w:hyperlink>
            <w:r w:rsidRPr="003333AC">
              <w:rPr>
                <w:rFonts w:ascii="Tahoma" w:eastAsia="Times New Roman" w:hAnsi="Tahoma" w:cs="Tahoma"/>
                <w:color w:val="333333"/>
                <w:sz w:val="30"/>
                <w:szCs w:val="30"/>
                <w:rtl/>
              </w:rPr>
              <w:t xml:space="preserve"> الحالية، أن تمارس صلاحيات رئيس الجمهورية، في حال حصول شغور رئاسي، لأن الرئيس ميقاتي يرفض دعوة حكومة تصريف الأعمال إلى عقد جلسة، وهذا يعني أنه لن يكون هناك مجلس وزراء، لذلك لا بد من إصدار مرسوم تشكيل حكومة جديدة، قبل انتهاء ولاية الرئيس عون، ولو بنفس تشكيلة </w:t>
            </w:r>
            <w:r w:rsidRPr="003333AC">
              <w:rPr>
                <w:rFonts w:ascii="Tahoma" w:eastAsia="Times New Roman" w:hAnsi="Tahoma" w:cs="Tahoma"/>
                <w:color w:val="333333"/>
                <w:sz w:val="30"/>
                <w:szCs w:val="30"/>
                <w:rtl/>
              </w:rPr>
              <w:lastRenderedPageBreak/>
              <w:t>الحكومة الحالية، أو بتعديل بعض الأسماء فيها، فلا شيء يمنع ذلك، وسيكون عليها أن تقدّم بيانها الوزاري، والحصول على ثقة المجلس النيابي، كي تستطيع الاجتماع مجدداً كمجلس للوزراء، وتمارس صلاحيات رئيس الجمهورية، في حال عدم انتخاب رئيس جديد للبلاد، قبل الأول من نوفمبر تشرين الثاني المقبل.</w:t>
            </w:r>
            <w:r w:rsidRPr="003333AC">
              <w:rPr>
                <w:rFonts w:ascii="Tahoma" w:eastAsia="Times New Roman" w:hAnsi="Tahoma" w:cs="Tahoma"/>
                <w:color w:val="333333"/>
                <w:sz w:val="30"/>
                <w:szCs w:val="30"/>
                <w:rtl/>
              </w:rPr>
              <w:br/>
            </w:r>
            <w:r w:rsidRPr="003333AC">
              <w:rPr>
                <w:rFonts w:ascii="Tahoma" w:eastAsia="Times New Roman" w:hAnsi="Tahoma" w:cs="Tahoma"/>
                <w:color w:val="333333"/>
                <w:sz w:val="30"/>
                <w:szCs w:val="30"/>
                <w:rtl/>
              </w:rPr>
              <w:br/>
            </w:r>
            <w:r w:rsidRPr="003333AC">
              <w:rPr>
                <w:rFonts w:ascii="Tahoma" w:eastAsia="Times New Roman" w:hAnsi="Tahoma" w:cs="Tahoma"/>
                <w:b/>
                <w:bCs/>
                <w:color w:val="333333"/>
                <w:sz w:val="30"/>
                <w:szCs w:val="30"/>
                <w:rtl/>
              </w:rPr>
              <w:t>فهل يتدارك المسؤولون هذا الوضع قبل أن نصطدم بالفراغ الشامل والكبير ؟؟؟</w:t>
            </w:r>
            <w:r w:rsidRPr="003333AC">
              <w:rPr>
                <w:rFonts w:ascii="Tahoma" w:eastAsia="Times New Roman" w:hAnsi="Tahoma" w:cs="Tahoma"/>
                <w:color w:val="333333"/>
                <w:sz w:val="30"/>
                <w:szCs w:val="30"/>
                <w:rtl/>
              </w:rPr>
              <w:br/>
            </w:r>
          </w:p>
        </w:tc>
      </w:tr>
    </w:tbl>
    <w:p w14:paraId="2CCECA85" w14:textId="77777777" w:rsidR="003333AC" w:rsidRDefault="003333AC"/>
    <w:sectPr w:rsidR="003333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3AC"/>
    <w:rsid w:val="003333AC"/>
    <w:rsid w:val="003B5F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5F7F3"/>
  <w15:chartTrackingRefBased/>
  <w15:docId w15:val="{B7EE2FA8-3092-438F-A161-6B836976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3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33AC"/>
    <w:rPr>
      <w:color w:val="0000FF"/>
      <w:u w:val="single"/>
    </w:rPr>
  </w:style>
  <w:style w:type="character" w:customStyle="1" w:styleId="st-label">
    <w:name w:val="st-label"/>
    <w:basedOn w:val="DefaultParagraphFont"/>
    <w:rsid w:val="00333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1074">
      <w:bodyDiv w:val="1"/>
      <w:marLeft w:val="0"/>
      <w:marRight w:val="0"/>
      <w:marTop w:val="0"/>
      <w:marBottom w:val="0"/>
      <w:divBdr>
        <w:top w:val="none" w:sz="0" w:space="0" w:color="auto"/>
        <w:left w:val="none" w:sz="0" w:space="0" w:color="auto"/>
        <w:bottom w:val="none" w:sz="0" w:space="0" w:color="auto"/>
        <w:right w:val="none" w:sz="0" w:space="0" w:color="auto"/>
      </w:divBdr>
      <w:divsChild>
        <w:div w:id="1893612545">
          <w:marLeft w:val="0"/>
          <w:marRight w:val="120"/>
          <w:marTop w:val="0"/>
          <w:marBottom w:val="0"/>
          <w:divBdr>
            <w:top w:val="none" w:sz="0" w:space="0" w:color="auto"/>
            <w:left w:val="none" w:sz="0" w:space="0" w:color="auto"/>
            <w:bottom w:val="none" w:sz="0" w:space="0" w:color="auto"/>
            <w:right w:val="none" w:sz="0" w:space="0" w:color="auto"/>
          </w:divBdr>
        </w:div>
        <w:div w:id="63719001">
          <w:marLeft w:val="0"/>
          <w:marRight w:val="120"/>
          <w:marTop w:val="0"/>
          <w:marBottom w:val="0"/>
          <w:divBdr>
            <w:top w:val="none" w:sz="0" w:space="0" w:color="auto"/>
            <w:left w:val="none" w:sz="0" w:space="0" w:color="auto"/>
            <w:bottom w:val="none" w:sz="0" w:space="0" w:color="auto"/>
            <w:right w:val="none" w:sz="0" w:space="0" w:color="auto"/>
          </w:divBdr>
        </w:div>
        <w:div w:id="1384597195">
          <w:marLeft w:val="0"/>
          <w:marRight w:val="120"/>
          <w:marTop w:val="0"/>
          <w:marBottom w:val="0"/>
          <w:divBdr>
            <w:top w:val="none" w:sz="0" w:space="0" w:color="auto"/>
            <w:left w:val="none" w:sz="0" w:space="0" w:color="auto"/>
            <w:bottom w:val="none" w:sz="0" w:space="0" w:color="auto"/>
            <w:right w:val="none" w:sz="0" w:space="0" w:color="auto"/>
          </w:divBdr>
        </w:div>
        <w:div w:id="1716462681">
          <w:marLeft w:val="0"/>
          <w:marRight w:val="120"/>
          <w:marTop w:val="0"/>
          <w:marBottom w:val="0"/>
          <w:divBdr>
            <w:top w:val="none" w:sz="0" w:space="0" w:color="auto"/>
            <w:left w:val="none" w:sz="0" w:space="0" w:color="auto"/>
            <w:bottom w:val="none" w:sz="0" w:space="0" w:color="auto"/>
            <w:right w:val="none" w:sz="0" w:space="0" w:color="auto"/>
          </w:divBdr>
        </w:div>
        <w:div w:id="47150887">
          <w:marLeft w:val="0"/>
          <w:marRight w:val="12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ts('bodytxt_1',1)" TargetMode="External"/><Relationship Id="rId13" Type="http://schemas.openxmlformats.org/officeDocument/2006/relationships/hyperlink" Target="https://news.google.com/publications/CAAqBwgKMM34mQsw94KyAw"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ghadinews.net/news/41674/6-%D8%A3%D8%B3%D8%A8%D8%A7%D8%A8-%D8%AA%D8%AF%D9%81%D8%B9%D9%83-%D9%84%D9%84%D8%AA%D9%88%D9%82%D9%81-%D8%B9%D9%86-%D8%B4%D8%B1%D8%A8-%D8%A7%D9%84%D9%83%D9%88%D9%84%D8%A7..-%D9%85%D8%A7-%D9%87%D9%8A%D8%9F?althaer=1" TargetMode="External"/><Relationship Id="rId17" Type="http://schemas.openxmlformats.org/officeDocument/2006/relationships/hyperlink" Target="https://www.althaer.com/tags/%D9%86%D8%AC%D9%8A%D8%A8_%D9%85%D9%8A%D9%82%D8%A7%D8%AA%D9%8A" TargetMode="External"/><Relationship Id="rId2" Type="http://schemas.openxmlformats.org/officeDocument/2006/relationships/settings" Target="settings.xml"/><Relationship Id="rId16" Type="http://schemas.openxmlformats.org/officeDocument/2006/relationships/hyperlink" Target="https://www.althaer.com/tags/%D9%85%D9%8A%D8%B4%D8%A7%D9%84_%D8%B9%D9%88%D9%86" TargetMode="External"/><Relationship Id="rId1" Type="http://schemas.openxmlformats.org/officeDocument/2006/relationships/styles" Target="styles.xml"/><Relationship Id="rId6" Type="http://schemas.openxmlformats.org/officeDocument/2006/relationships/hyperlink" Target="javascript:ts('bodytxt_1',-1)" TargetMode="External"/><Relationship Id="rId11" Type="http://schemas.openxmlformats.org/officeDocument/2006/relationships/image" Target="media/image4.jpeg"/><Relationship Id="rId5" Type="http://schemas.openxmlformats.org/officeDocument/2006/relationships/hyperlink" Target="https://www.althaer.com/Category/198" TargetMode="External"/><Relationship Id="rId15" Type="http://schemas.openxmlformats.org/officeDocument/2006/relationships/hyperlink" Target="https://www.althaer.com/tags/%D9%86%D8%AC%D9%8A%D8%A8_%D9%85%D9%8A%D9%82%D8%A7%D8%AA%D9%8A" TargetMode="External"/><Relationship Id="rId10" Type="http://schemas.openxmlformats.org/officeDocument/2006/relationships/hyperlink" Target="javascript:print('/print/284644')"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hyperlink" Target="https://www.althaer.com/tags/%D8%A7%D9%83%D8%B1%D9%85_%D9%83%D9%85%D8%A7%D9%84_%D8%B3%D8%B1%D9%8A%D9%88%D9%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823</Words>
  <Characters>4693</Characters>
  <Application>Microsoft Office Word</Application>
  <DocSecurity>0</DocSecurity>
  <Lines>39</Lines>
  <Paragraphs>11</Paragraphs>
  <ScaleCrop>false</ScaleCrop>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2022-09-06T18:14:00Z</dcterms:created>
  <dcterms:modified xsi:type="dcterms:W3CDTF">2022-09-11T14:08:00Z</dcterms:modified>
</cp:coreProperties>
</file>